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814D31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C20EE">
        <w:rPr>
          <w:rFonts w:ascii="Tahoma" w:hAnsi="Tahoma" w:cs="Tahoma"/>
          <w:b/>
          <w:sz w:val="32"/>
          <w:szCs w:val="32"/>
          <w:u w:val="single"/>
        </w:rPr>
        <w:t>083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C20EE">
        <w:rPr>
          <w:rFonts w:ascii="Tahoma" w:hAnsi="Tahoma" w:cs="Tahoma"/>
          <w:b/>
          <w:sz w:val="32"/>
          <w:szCs w:val="32"/>
          <w:u w:val="single"/>
        </w:rPr>
        <w:t>021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C20EE" w:rsidRPr="005C20EE" w:rsidRDefault="005C20EE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LUCAS GRECCO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C20EE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C20EE">
        <w:rPr>
          <w:rFonts w:ascii="Calibri" w:hAnsi="Calibri" w:cs="Calibri"/>
          <w:sz w:val="22"/>
          <w:szCs w:val="22"/>
        </w:rPr>
        <w:t>Dispõe sobre a obrigatoriedade das instituições financeiras, dos hotéis, das escolas, das universidades e dos condomínios, horizontais ou verticais, de natureza ou finalidade residencial, comercial ou industrial, inclusive shoppings, instalados neste Município, a procederem a coleta seletiva dos seus resíduos sólidos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C20EE" w:rsidRPr="005C20EE" w:rsidRDefault="005C20EE" w:rsidP="005C20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C20EE">
        <w:rPr>
          <w:rFonts w:ascii="Calibri" w:hAnsi="Calibri" w:cs="Calibri"/>
          <w:sz w:val="24"/>
          <w:szCs w:val="24"/>
        </w:rPr>
        <w:t>Art. 1º As instituições financeiras, os hotéis, as escolas, as universidades e os condomínios, horizontais ou verticais, de natureza ou finalidade residencial, comercial ou industrial, inclusive shoppings, instalados neste Município, ficam obrigados a proceder à separação dos resíduos sólidos por eles produzidos.</w:t>
      </w:r>
    </w:p>
    <w:p w:rsidR="005C20EE" w:rsidRPr="005C20EE" w:rsidRDefault="005C20EE" w:rsidP="005C20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C20EE" w:rsidRPr="005C20EE" w:rsidRDefault="005C20EE" w:rsidP="005C20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C20EE">
        <w:rPr>
          <w:rFonts w:ascii="Calibri" w:hAnsi="Calibri" w:cs="Calibri"/>
          <w:sz w:val="24"/>
          <w:szCs w:val="24"/>
        </w:rPr>
        <w:t>Parágrafo único. Incidem na obrigação prevista no caput deste artigo também os estabelecimentos cujo consumo de água seja superior a 201 m³ (201 metros cúbicos), na forma de ato administrativo editado pelo Poder Executivo Municipal que fixe a tarifa para o abastecimento de água, para a coleta, afastamento e tratamento de esgotos sanitários.</w:t>
      </w:r>
    </w:p>
    <w:p w:rsidR="005C20EE" w:rsidRPr="005C20EE" w:rsidRDefault="005C20EE" w:rsidP="005C20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C20EE" w:rsidRPr="005C20EE" w:rsidRDefault="005C20EE" w:rsidP="005C20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C20EE">
        <w:rPr>
          <w:rFonts w:ascii="Calibri" w:hAnsi="Calibri" w:cs="Calibri"/>
          <w:sz w:val="24"/>
          <w:szCs w:val="24"/>
        </w:rPr>
        <w:t>Art. 2º Entende-se como resíduo sólido:</w:t>
      </w:r>
    </w:p>
    <w:p w:rsidR="005C20EE" w:rsidRPr="005C20EE" w:rsidRDefault="005C20EE" w:rsidP="005C20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C20EE">
        <w:rPr>
          <w:rFonts w:ascii="Calibri" w:hAnsi="Calibri" w:cs="Calibri"/>
          <w:sz w:val="24"/>
          <w:szCs w:val="24"/>
        </w:rPr>
        <w:t xml:space="preserve">I – </w:t>
      </w:r>
      <w:proofErr w:type="gramStart"/>
      <w:r w:rsidRPr="005C20EE">
        <w:rPr>
          <w:rFonts w:ascii="Calibri" w:hAnsi="Calibri" w:cs="Calibri"/>
          <w:sz w:val="24"/>
          <w:szCs w:val="24"/>
        </w:rPr>
        <w:t>seco</w:t>
      </w:r>
      <w:proofErr w:type="gramEnd"/>
      <w:r w:rsidRPr="005C20EE">
        <w:rPr>
          <w:rFonts w:ascii="Calibri" w:hAnsi="Calibri" w:cs="Calibri"/>
          <w:sz w:val="24"/>
          <w:szCs w:val="24"/>
        </w:rPr>
        <w:t xml:space="preserve"> aquele composto pela parcela dos resíduos sólidos que são passiveis de serem submetidos a processos de reciclagem;</w:t>
      </w:r>
    </w:p>
    <w:p w:rsidR="005C20EE" w:rsidRPr="005C20EE" w:rsidRDefault="005C20EE" w:rsidP="005C20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C20EE">
        <w:rPr>
          <w:rFonts w:ascii="Calibri" w:hAnsi="Calibri" w:cs="Calibri"/>
          <w:sz w:val="24"/>
          <w:szCs w:val="24"/>
        </w:rPr>
        <w:t xml:space="preserve">II – </w:t>
      </w:r>
      <w:proofErr w:type="gramStart"/>
      <w:r w:rsidRPr="005C20EE">
        <w:rPr>
          <w:rFonts w:ascii="Calibri" w:hAnsi="Calibri" w:cs="Calibri"/>
          <w:sz w:val="24"/>
          <w:szCs w:val="24"/>
        </w:rPr>
        <w:t>orgânico ou úmido</w:t>
      </w:r>
      <w:proofErr w:type="gramEnd"/>
      <w:r w:rsidRPr="005C20EE">
        <w:rPr>
          <w:rFonts w:ascii="Calibri" w:hAnsi="Calibri" w:cs="Calibri"/>
          <w:sz w:val="24"/>
          <w:szCs w:val="24"/>
        </w:rPr>
        <w:t xml:space="preserve"> aquele composto pela parcela dos resíduos sólidos classificados como orgânicos, acrescida a parcela dos resíduos comuns,</w:t>
      </w:r>
      <w:bookmarkStart w:id="0" w:name="_GoBack"/>
      <w:bookmarkEnd w:id="0"/>
      <w:r w:rsidRPr="005C20EE">
        <w:rPr>
          <w:rFonts w:ascii="Calibri" w:hAnsi="Calibri" w:cs="Calibri"/>
          <w:sz w:val="24"/>
          <w:szCs w:val="24"/>
        </w:rPr>
        <w:t xml:space="preserve"> estes também denominados não recicláveis.</w:t>
      </w:r>
    </w:p>
    <w:p w:rsidR="005C20EE" w:rsidRPr="005C20EE" w:rsidRDefault="005C20EE" w:rsidP="005C20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C20EE" w:rsidRPr="005C20EE" w:rsidRDefault="005C20EE" w:rsidP="005C20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C20EE">
        <w:rPr>
          <w:rFonts w:ascii="Calibri" w:hAnsi="Calibri" w:cs="Calibri"/>
          <w:sz w:val="24"/>
          <w:szCs w:val="24"/>
        </w:rPr>
        <w:t>§ 1º Os resíduos sólidos secos deverão ser devidamente separados e acondicionados em local apropriado assinalado pela cor verde, preferencialmente em recipiente ou contêineres.</w:t>
      </w:r>
    </w:p>
    <w:p w:rsidR="005C20EE" w:rsidRPr="005C20EE" w:rsidRDefault="005C20EE" w:rsidP="005C20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C20EE" w:rsidRPr="005C20EE" w:rsidRDefault="005C20EE" w:rsidP="005C20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C20EE">
        <w:rPr>
          <w:rFonts w:ascii="Calibri" w:hAnsi="Calibri" w:cs="Calibri"/>
          <w:sz w:val="24"/>
          <w:szCs w:val="24"/>
        </w:rPr>
        <w:t>§ 2º Os resíduos sólidos orgânicos ou úmidos deverão ser devidamente separados e acondicionados em local apropriado assinalado pela cor azul, preferencialmente em recipiente ou contêineres.</w:t>
      </w:r>
    </w:p>
    <w:p w:rsidR="005C20EE" w:rsidRPr="005C20EE" w:rsidRDefault="005C20EE" w:rsidP="005C20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C20EE" w:rsidRPr="005C20EE" w:rsidRDefault="005C20EE" w:rsidP="005C20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C20EE">
        <w:rPr>
          <w:rFonts w:ascii="Calibri" w:hAnsi="Calibri" w:cs="Calibri"/>
          <w:sz w:val="24"/>
          <w:szCs w:val="24"/>
        </w:rPr>
        <w:t>§ 3º Aplicam-se, de forma subsidiária, às disposições deste artigo as Resoluções do CONAMA - Conselho Nacional do Meio Ambiente.</w:t>
      </w:r>
    </w:p>
    <w:p w:rsidR="005C20EE" w:rsidRPr="005C20EE" w:rsidRDefault="005C20EE" w:rsidP="005C20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C20EE" w:rsidRPr="005C20EE" w:rsidRDefault="005C20EE" w:rsidP="005C20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5C20EE">
        <w:rPr>
          <w:rFonts w:ascii="Calibri" w:hAnsi="Calibri" w:cs="Calibri"/>
          <w:sz w:val="24"/>
          <w:szCs w:val="24"/>
        </w:rPr>
        <w:t>Art. 3º O descumprimento da obrigação instituída por esta Lei ensejará a aplicação:</w:t>
      </w:r>
    </w:p>
    <w:p w:rsidR="005C20EE" w:rsidRPr="005C20EE" w:rsidRDefault="005C20EE" w:rsidP="005C20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C20EE">
        <w:rPr>
          <w:rFonts w:ascii="Calibri" w:hAnsi="Calibri" w:cs="Calibri"/>
          <w:sz w:val="24"/>
          <w:szCs w:val="24"/>
        </w:rPr>
        <w:t xml:space="preserve">I – </w:t>
      </w:r>
      <w:proofErr w:type="gramStart"/>
      <w:r w:rsidRPr="005C20EE">
        <w:rPr>
          <w:rFonts w:ascii="Calibri" w:hAnsi="Calibri" w:cs="Calibri"/>
          <w:sz w:val="24"/>
          <w:szCs w:val="24"/>
        </w:rPr>
        <w:t>advertência</w:t>
      </w:r>
      <w:proofErr w:type="gramEnd"/>
      <w:r w:rsidRPr="005C20EE">
        <w:rPr>
          <w:rFonts w:ascii="Calibri" w:hAnsi="Calibri" w:cs="Calibri"/>
          <w:sz w:val="24"/>
          <w:szCs w:val="24"/>
        </w:rPr>
        <w:t xml:space="preserve"> por escrito;</w:t>
      </w:r>
    </w:p>
    <w:p w:rsidR="005C20EE" w:rsidRPr="005C20EE" w:rsidRDefault="005C20EE" w:rsidP="005C20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C20EE">
        <w:rPr>
          <w:rFonts w:ascii="Calibri" w:hAnsi="Calibri" w:cs="Calibri"/>
          <w:sz w:val="24"/>
          <w:szCs w:val="24"/>
        </w:rPr>
        <w:t xml:space="preserve">II – </w:t>
      </w:r>
      <w:proofErr w:type="gramStart"/>
      <w:r w:rsidRPr="005C20EE">
        <w:rPr>
          <w:rFonts w:ascii="Calibri" w:hAnsi="Calibri" w:cs="Calibri"/>
          <w:sz w:val="24"/>
          <w:szCs w:val="24"/>
        </w:rPr>
        <w:t>na</w:t>
      </w:r>
      <w:proofErr w:type="gramEnd"/>
      <w:r w:rsidRPr="005C20EE">
        <w:rPr>
          <w:rFonts w:ascii="Calibri" w:hAnsi="Calibri" w:cs="Calibri"/>
          <w:sz w:val="24"/>
          <w:szCs w:val="24"/>
        </w:rPr>
        <w:t xml:space="preserve"> reincidência, multa na ordem de 10 (dez) </w:t>
      </w:r>
      <w:proofErr w:type="spellStart"/>
      <w:r w:rsidRPr="005C20EE">
        <w:rPr>
          <w:rFonts w:ascii="Calibri" w:hAnsi="Calibri" w:cs="Calibri"/>
          <w:sz w:val="24"/>
          <w:szCs w:val="24"/>
        </w:rPr>
        <w:t>UFMs</w:t>
      </w:r>
      <w:proofErr w:type="spellEnd"/>
      <w:r w:rsidRPr="005C20EE">
        <w:rPr>
          <w:rFonts w:ascii="Calibri" w:hAnsi="Calibri" w:cs="Calibri"/>
          <w:sz w:val="24"/>
          <w:szCs w:val="24"/>
        </w:rPr>
        <w:t xml:space="preserve"> (Unidades Fiscais Municipais).</w:t>
      </w:r>
    </w:p>
    <w:p w:rsidR="005C20EE" w:rsidRPr="005C20EE" w:rsidRDefault="005C20EE" w:rsidP="005C20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5C20EE" w:rsidP="005C20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C20EE">
        <w:rPr>
          <w:rFonts w:ascii="Calibri" w:hAnsi="Calibri" w:cs="Calibri"/>
          <w:sz w:val="24"/>
          <w:szCs w:val="24"/>
        </w:rPr>
        <w:t>Art. 4º Esta Lei entra em vigor na data de sua publicação, produzindo seus efeitos a partir de 180 (cento e oitenta) dias.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C6AB7">
        <w:rPr>
          <w:rFonts w:ascii="Calibri" w:hAnsi="Calibri" w:cs="Calibri"/>
          <w:sz w:val="24"/>
          <w:szCs w:val="24"/>
        </w:rPr>
        <w:t>26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3C6AB7">
        <w:rPr>
          <w:rFonts w:ascii="Calibri" w:hAnsi="Calibri" w:cs="Calibri"/>
          <w:sz w:val="24"/>
          <w:szCs w:val="24"/>
        </w:rPr>
        <w:t>vinte e 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57A0C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D31" w:rsidRPr="00814D31" w:rsidRDefault="00814D31">
    <w:pPr>
      <w:pStyle w:val="Rodap"/>
      <w:jc w:val="right"/>
      <w:rPr>
        <w:sz w:val="20"/>
      </w:rPr>
    </w:pPr>
    <w:r w:rsidRPr="00814D31">
      <w:rPr>
        <w:sz w:val="20"/>
      </w:rPr>
      <w:fldChar w:fldCharType="begin"/>
    </w:r>
    <w:r w:rsidRPr="00814D31">
      <w:rPr>
        <w:sz w:val="20"/>
      </w:rPr>
      <w:instrText>PAGE   \* MERGEFORMAT</w:instrText>
    </w:r>
    <w:r w:rsidRPr="00814D31">
      <w:rPr>
        <w:sz w:val="20"/>
      </w:rPr>
      <w:fldChar w:fldCharType="separate"/>
    </w:r>
    <w:r>
      <w:rPr>
        <w:noProof/>
        <w:sz w:val="20"/>
      </w:rPr>
      <w:t>2</w:t>
    </w:r>
    <w:r w:rsidRPr="00814D31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14D3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14D3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0EE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4D31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60</cp:revision>
  <cp:lastPrinted>2016-08-16T19:55:00Z</cp:lastPrinted>
  <dcterms:created xsi:type="dcterms:W3CDTF">2016-08-16T19:55:00Z</dcterms:created>
  <dcterms:modified xsi:type="dcterms:W3CDTF">2017-04-25T15:37:00Z</dcterms:modified>
</cp:coreProperties>
</file>