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14D3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C20EE">
        <w:rPr>
          <w:rFonts w:ascii="Tahoma" w:hAnsi="Tahoma" w:cs="Tahoma"/>
          <w:b/>
          <w:sz w:val="32"/>
          <w:szCs w:val="32"/>
          <w:u w:val="single"/>
        </w:rPr>
        <w:t>083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C20EE">
        <w:rPr>
          <w:rFonts w:ascii="Tahoma" w:hAnsi="Tahoma" w:cs="Tahoma"/>
          <w:b/>
          <w:sz w:val="32"/>
          <w:szCs w:val="32"/>
          <w:u w:val="single"/>
        </w:rPr>
        <w:t>021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C20EE" w:rsidRPr="005C20EE" w:rsidRDefault="005C20E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C20E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C20EE">
        <w:rPr>
          <w:rFonts w:ascii="Calibri" w:hAnsi="Calibri" w:cs="Calibri"/>
          <w:sz w:val="22"/>
          <w:szCs w:val="22"/>
        </w:rPr>
        <w:t>Dispõe sobre a obrigatoriedade das instituições financeiras, dos hotéis, das escolas, das universidades e dos condomínios, horizontais ou verticais, de natureza ou finalidade residencial, comercial ou industrial, inclusive shoppings, instalados neste Município, a procederem a coleta seletiva dos seus resíduos sólidos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Art. 1º As instituições financeiras, os hotéis, as escolas, as universidades e os condomínios, horizontais ou verticais, de natureza ou finalidade residencial, comercial ou industrial, inclusive shoppings, instalados neste Município, ficam obrigados a proceder à separação dos resíduos sólidos por eles produzidos.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Parágrafo único. Incidem na obrigação prevista no caput deste artigo também os estabelecimentos cujo consumo de água seja superior a 201 m³ (201 metros cúbicos), na forma de ato administrativo editado pelo Poder Executivo Municipal que fixe a tarifa para o abastecimento de água, para a coleta, afastamento e tratamento de esgotos sanitários.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Art. 2º Entende-se como resíduo sólido: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5C20EE">
        <w:rPr>
          <w:rFonts w:ascii="Calibri" w:hAnsi="Calibri" w:cs="Calibri"/>
          <w:sz w:val="24"/>
          <w:szCs w:val="24"/>
        </w:rPr>
        <w:t>seco</w:t>
      </w:r>
      <w:proofErr w:type="gramEnd"/>
      <w:r w:rsidRPr="005C20EE">
        <w:rPr>
          <w:rFonts w:ascii="Calibri" w:hAnsi="Calibri" w:cs="Calibri"/>
          <w:sz w:val="24"/>
          <w:szCs w:val="24"/>
        </w:rPr>
        <w:t xml:space="preserve"> aquele composto pela parcela dos resíduos sólidos que são passiveis de serem submetidos a processos de reciclagem;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5C20EE">
        <w:rPr>
          <w:rFonts w:ascii="Calibri" w:hAnsi="Calibri" w:cs="Calibri"/>
          <w:sz w:val="24"/>
          <w:szCs w:val="24"/>
        </w:rPr>
        <w:t>orgânico ou úmido</w:t>
      </w:r>
      <w:proofErr w:type="gramEnd"/>
      <w:r w:rsidRPr="005C20EE">
        <w:rPr>
          <w:rFonts w:ascii="Calibri" w:hAnsi="Calibri" w:cs="Calibri"/>
          <w:sz w:val="24"/>
          <w:szCs w:val="24"/>
        </w:rPr>
        <w:t xml:space="preserve"> aquele composto pela parcela dos resíduos sólidos classificados como orgânicos, acrescida a parcela dos resíduos comuns,</w:t>
      </w:r>
      <w:bookmarkStart w:id="0" w:name="_GoBack"/>
      <w:bookmarkEnd w:id="0"/>
      <w:r w:rsidRPr="005C20EE">
        <w:rPr>
          <w:rFonts w:ascii="Calibri" w:hAnsi="Calibri" w:cs="Calibri"/>
          <w:sz w:val="24"/>
          <w:szCs w:val="24"/>
        </w:rPr>
        <w:t xml:space="preserve"> estes também denominados não recicláveis.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§ 1º Os resíduos sólidos secos deverão ser devidamente separados e acondicionados em local apropriado assinalado pela cor verde, preferencialmente em recipiente ou contêineres.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§ 2º Os resíduos sólidos orgânicos ou úmidos deverão ser devidamente separados e acondicionados em local apropriado assinalado pela cor azul, preferencialmente em recipiente ou contêineres.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§ 3º Aplicam-se, de forma subsidiária, às disposições deste artigo as Resoluções do CONAMA - Conselho Nacional do Meio Ambiente.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Art. 3º O descumprimento da obrigação instituída por esta Lei ensejará a aplicação: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5C20EE">
        <w:rPr>
          <w:rFonts w:ascii="Calibri" w:hAnsi="Calibri" w:cs="Calibri"/>
          <w:sz w:val="24"/>
          <w:szCs w:val="24"/>
        </w:rPr>
        <w:t>advertência</w:t>
      </w:r>
      <w:proofErr w:type="gramEnd"/>
      <w:r w:rsidRPr="005C20EE">
        <w:rPr>
          <w:rFonts w:ascii="Calibri" w:hAnsi="Calibri" w:cs="Calibri"/>
          <w:sz w:val="24"/>
          <w:szCs w:val="24"/>
        </w:rPr>
        <w:t xml:space="preserve"> por escrito;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5C20EE">
        <w:rPr>
          <w:rFonts w:ascii="Calibri" w:hAnsi="Calibri" w:cs="Calibri"/>
          <w:sz w:val="24"/>
          <w:szCs w:val="24"/>
        </w:rPr>
        <w:t>na</w:t>
      </w:r>
      <w:proofErr w:type="gramEnd"/>
      <w:r w:rsidRPr="005C20EE">
        <w:rPr>
          <w:rFonts w:ascii="Calibri" w:hAnsi="Calibri" w:cs="Calibri"/>
          <w:sz w:val="24"/>
          <w:szCs w:val="24"/>
        </w:rPr>
        <w:t xml:space="preserve"> reincidência, multa na ordem de 10 (dez) </w:t>
      </w:r>
      <w:proofErr w:type="spellStart"/>
      <w:r w:rsidRPr="005C20EE">
        <w:rPr>
          <w:rFonts w:ascii="Calibri" w:hAnsi="Calibri" w:cs="Calibri"/>
          <w:sz w:val="24"/>
          <w:szCs w:val="24"/>
        </w:rPr>
        <w:t>UFMs</w:t>
      </w:r>
      <w:proofErr w:type="spellEnd"/>
      <w:r w:rsidRPr="005C20EE">
        <w:rPr>
          <w:rFonts w:ascii="Calibri" w:hAnsi="Calibri" w:cs="Calibri"/>
          <w:sz w:val="24"/>
          <w:szCs w:val="24"/>
        </w:rPr>
        <w:t xml:space="preserve"> (Unidades Fiscais Municipais).</w:t>
      </w:r>
    </w:p>
    <w:p w:rsidR="005C20EE" w:rsidRPr="005C20EE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5C20EE" w:rsidP="005C20E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20EE">
        <w:rPr>
          <w:rFonts w:ascii="Calibri" w:hAnsi="Calibri" w:cs="Calibri"/>
          <w:sz w:val="24"/>
          <w:szCs w:val="24"/>
        </w:rPr>
        <w:t>Art. 4º Esta Lei entra em vigor na data de sua publicação, produzindo seus efeitos a partir de 180 (cento e oitenta) dias.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C6AB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C6AB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31" w:rsidRPr="00814D31" w:rsidRDefault="00814D31">
    <w:pPr>
      <w:pStyle w:val="Rodap"/>
      <w:jc w:val="right"/>
      <w:rPr>
        <w:sz w:val="20"/>
      </w:rPr>
    </w:pPr>
    <w:r w:rsidRPr="00814D31">
      <w:rPr>
        <w:sz w:val="20"/>
      </w:rPr>
      <w:fldChar w:fldCharType="begin"/>
    </w:r>
    <w:r w:rsidRPr="00814D31">
      <w:rPr>
        <w:sz w:val="20"/>
      </w:rPr>
      <w:instrText>PAGE   \* MERGEFORMAT</w:instrText>
    </w:r>
    <w:r w:rsidRPr="00814D31">
      <w:rPr>
        <w:sz w:val="20"/>
      </w:rPr>
      <w:fldChar w:fldCharType="separate"/>
    </w:r>
    <w:r>
      <w:rPr>
        <w:noProof/>
        <w:sz w:val="20"/>
      </w:rPr>
      <w:t>2</w:t>
    </w:r>
    <w:r w:rsidRPr="00814D31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14D3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14D3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0EE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4D31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60</cp:revision>
  <cp:lastPrinted>2016-08-16T19:55:00Z</cp:lastPrinted>
  <dcterms:created xsi:type="dcterms:W3CDTF">2016-08-16T19:55:00Z</dcterms:created>
  <dcterms:modified xsi:type="dcterms:W3CDTF">2017-04-25T15:37:00Z</dcterms:modified>
</cp:coreProperties>
</file>