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812"/>
        <w:gridCol w:w="1418"/>
        <w:gridCol w:w="1275"/>
      </w:tblGrid>
      <w:tr w:rsidR="00292D27" w:rsidRPr="00E70154" w14:paraId="09387B09" w14:textId="77777777" w:rsidTr="00C64C1B">
        <w:tc>
          <w:tcPr>
            <w:tcW w:w="5812" w:type="dxa"/>
          </w:tcPr>
          <w:p w14:paraId="61F46DA5" w14:textId="5A07A2DB" w:rsidR="00292D27" w:rsidRPr="00E70154" w:rsidRDefault="00292D27" w:rsidP="002020B8">
            <w:pPr>
              <w:ind w:left="34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E70154">
              <w:rPr>
                <w:rFonts w:asciiTheme="minorHAnsi" w:hAnsiTheme="minorHAnsi"/>
                <w:b/>
                <w:bCs/>
                <w:sz w:val="32"/>
                <w:szCs w:val="32"/>
              </w:rPr>
              <w:t>PARECER</w:t>
            </w:r>
            <w:r w:rsidR="00E70154" w:rsidRPr="00E70154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00E70154">
              <w:rPr>
                <w:rFonts w:asciiTheme="minorHAnsi" w:hAnsiTheme="minorHAnsi"/>
                <w:b/>
                <w:bCs/>
                <w:sz w:val="32"/>
                <w:szCs w:val="32"/>
              </w:rPr>
              <w:t>Nº</w:t>
            </w:r>
            <w:r w:rsidR="00FB0E6A">
              <w:rPr>
                <w:rFonts w:asciiTheme="minorHAnsi" w:hAnsiTheme="minorHAnsi"/>
                <w:b/>
                <w:bCs/>
                <w:sz w:val="32"/>
                <w:szCs w:val="32"/>
              </w:rPr>
              <w:t>144</w:t>
            </w:r>
          </w:p>
        </w:tc>
        <w:tc>
          <w:tcPr>
            <w:tcW w:w="1418" w:type="dxa"/>
          </w:tcPr>
          <w:p w14:paraId="791F3864" w14:textId="77777777" w:rsidR="00292D27" w:rsidRPr="00E70154" w:rsidRDefault="00292D27" w:rsidP="00C64C1B">
            <w:pPr>
              <w:ind w:left="34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3DC35248" w14:textId="1268F81C" w:rsidR="00292D27" w:rsidRPr="00E70154" w:rsidRDefault="00292D27" w:rsidP="002020B8">
            <w:pPr>
              <w:tabs>
                <w:tab w:val="left" w:pos="600"/>
              </w:tabs>
              <w:ind w:left="34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E70154">
              <w:rPr>
                <w:rFonts w:asciiTheme="minorHAnsi" w:hAnsiTheme="minorHAnsi"/>
                <w:b/>
                <w:bCs/>
                <w:sz w:val="32"/>
                <w:szCs w:val="32"/>
              </w:rPr>
              <w:t>/17</w:t>
            </w:r>
          </w:p>
        </w:tc>
      </w:tr>
    </w:tbl>
    <w:p w14:paraId="56D4CACE" w14:textId="77777777" w:rsidR="00292D27" w:rsidRPr="00E70154" w:rsidRDefault="00292D27" w:rsidP="00C64C1B">
      <w:pPr>
        <w:ind w:left="34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3C752611" w14:textId="77777777" w:rsidR="00292D27" w:rsidRPr="002020B8" w:rsidRDefault="00D36FA3" w:rsidP="00C64C1B">
      <w:pPr>
        <w:pStyle w:val="Ttulo1"/>
        <w:ind w:left="34" w:right="0"/>
        <w:rPr>
          <w:rFonts w:asciiTheme="minorHAnsi" w:hAnsiTheme="minorHAnsi"/>
          <w:b w:val="0"/>
          <w:bCs w:val="0"/>
        </w:rPr>
      </w:pPr>
      <w:r w:rsidRPr="002020B8">
        <w:rPr>
          <w:rFonts w:asciiTheme="minorHAnsi" w:hAnsiTheme="minorHAnsi"/>
          <w:b w:val="0"/>
        </w:rPr>
        <w:t>Projeto de Lei nº 82/2017</w:t>
      </w:r>
    </w:p>
    <w:p w14:paraId="75421CDC" w14:textId="77777777" w:rsidR="00292D27" w:rsidRPr="002020B8" w:rsidRDefault="00292D27" w:rsidP="00C64C1B">
      <w:pPr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45A1717" w14:textId="77777777" w:rsidR="00292D27" w:rsidRPr="002020B8" w:rsidRDefault="00292D27" w:rsidP="00C64C1B">
      <w:pPr>
        <w:pStyle w:val="Ttulo1"/>
        <w:ind w:left="34" w:right="0"/>
        <w:rPr>
          <w:rFonts w:asciiTheme="minorHAnsi" w:hAnsiTheme="minorHAnsi"/>
          <w:b w:val="0"/>
        </w:rPr>
      </w:pPr>
      <w:r w:rsidRPr="002020B8">
        <w:rPr>
          <w:rFonts w:asciiTheme="minorHAnsi" w:hAnsiTheme="minorHAnsi"/>
          <w:b w:val="0"/>
        </w:rPr>
        <w:t xml:space="preserve">Processo nº </w:t>
      </w:r>
      <w:r w:rsidR="00D36FA3" w:rsidRPr="002020B8">
        <w:rPr>
          <w:rFonts w:asciiTheme="minorHAnsi" w:hAnsiTheme="minorHAnsi"/>
          <w:b w:val="0"/>
        </w:rPr>
        <w:t>107/2017</w:t>
      </w:r>
    </w:p>
    <w:p w14:paraId="0F3487E1" w14:textId="77777777" w:rsidR="00292D27" w:rsidRPr="002020B8" w:rsidRDefault="00292D27" w:rsidP="00C64C1B">
      <w:pPr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D4D70E4" w14:textId="77777777" w:rsidR="00292D27" w:rsidRPr="002020B8" w:rsidRDefault="00292D27" w:rsidP="00C64C1B">
      <w:pPr>
        <w:ind w:left="34"/>
        <w:jc w:val="both"/>
        <w:rPr>
          <w:rFonts w:asciiTheme="minorHAnsi" w:hAnsiTheme="minorHAnsi" w:cs="Arial"/>
          <w:sz w:val="24"/>
          <w:szCs w:val="24"/>
        </w:rPr>
      </w:pPr>
      <w:r w:rsidRPr="002020B8">
        <w:rPr>
          <w:rFonts w:asciiTheme="minorHAnsi" w:hAnsiTheme="minorHAnsi" w:cs="Arial"/>
          <w:bCs/>
          <w:sz w:val="24"/>
          <w:szCs w:val="24"/>
        </w:rPr>
        <w:t xml:space="preserve">Iniciativa: </w:t>
      </w:r>
      <w:r w:rsidR="00315CA8" w:rsidRPr="002020B8">
        <w:rPr>
          <w:rFonts w:asciiTheme="minorHAnsi" w:hAnsiTheme="minorHAnsi" w:cs="Arial"/>
          <w:bCs/>
          <w:sz w:val="24"/>
          <w:szCs w:val="24"/>
        </w:rPr>
        <w:t xml:space="preserve">VEREADOR E PRIMEIRO SECRETÁRIO </w:t>
      </w:r>
      <w:r w:rsidR="00D36FA3" w:rsidRPr="002020B8">
        <w:rPr>
          <w:rFonts w:asciiTheme="minorHAnsi" w:hAnsiTheme="minorHAnsi" w:cs="Arial"/>
          <w:sz w:val="24"/>
          <w:szCs w:val="24"/>
        </w:rPr>
        <w:t xml:space="preserve">EDIO LOPES </w:t>
      </w:r>
    </w:p>
    <w:p w14:paraId="4EF0D6D5" w14:textId="77777777" w:rsidR="00315CA8" w:rsidRPr="002020B8" w:rsidRDefault="00315CA8" w:rsidP="00C64C1B">
      <w:pPr>
        <w:ind w:left="34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86E9AE6" w14:textId="6E3C95CD" w:rsidR="00292D27" w:rsidRPr="00E70154" w:rsidRDefault="00292D27" w:rsidP="00C64C1B">
      <w:pPr>
        <w:ind w:left="34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020B8">
        <w:rPr>
          <w:rFonts w:asciiTheme="minorHAnsi" w:hAnsiTheme="minorHAnsi" w:cs="Arial"/>
          <w:bCs/>
          <w:sz w:val="24"/>
          <w:szCs w:val="24"/>
        </w:rPr>
        <w:t xml:space="preserve">Assunto: </w:t>
      </w:r>
      <w:r w:rsidR="00D36FA3" w:rsidRPr="002020B8">
        <w:rPr>
          <w:rFonts w:asciiTheme="minorHAnsi" w:hAnsiTheme="minorHAnsi" w:cs="Arial"/>
          <w:sz w:val="24"/>
          <w:szCs w:val="24"/>
        </w:rPr>
        <w:t xml:space="preserve">Altera a Lei nº 6.512, de 04 de </w:t>
      </w:r>
      <w:r w:rsidR="002020B8" w:rsidRPr="002020B8">
        <w:rPr>
          <w:rFonts w:asciiTheme="minorHAnsi" w:hAnsiTheme="minorHAnsi" w:cs="Arial"/>
          <w:sz w:val="24"/>
          <w:szCs w:val="24"/>
        </w:rPr>
        <w:t>janeiro</w:t>
      </w:r>
      <w:r w:rsidR="00D36FA3" w:rsidRPr="002020B8">
        <w:rPr>
          <w:rFonts w:asciiTheme="minorHAnsi" w:hAnsiTheme="minorHAnsi" w:cs="Arial"/>
          <w:sz w:val="24"/>
          <w:szCs w:val="24"/>
        </w:rPr>
        <w:t xml:space="preserve"> de 2007 (Autoriza o Poder Executivo, através</w:t>
      </w:r>
      <w:r w:rsidR="00D36FA3" w:rsidRPr="00E70154">
        <w:rPr>
          <w:rFonts w:asciiTheme="minorHAnsi" w:hAnsiTheme="minorHAnsi" w:cs="Arial"/>
          <w:sz w:val="24"/>
          <w:szCs w:val="24"/>
        </w:rPr>
        <w:t xml:space="preserve"> de seu Prefeito Municipal, a instalar Posto de Pedágio na estrada vicinal que interliga o Município de Araraquara ao Município de Matão (ARA 080) e dá outras providências.), acrescendo hipótese de isenção de pagamento de pedágio nas formas em que especifica e dá outras providências.</w:t>
      </w:r>
    </w:p>
    <w:p w14:paraId="16392427" w14:textId="77777777" w:rsidR="009C4CAF" w:rsidRPr="00E70154" w:rsidRDefault="009C4CAF" w:rsidP="00C64C1B">
      <w:pPr>
        <w:ind w:left="34"/>
        <w:jc w:val="both"/>
        <w:rPr>
          <w:rFonts w:asciiTheme="minorHAnsi" w:hAnsiTheme="minorHAnsi" w:cs="Arial"/>
          <w:sz w:val="24"/>
          <w:szCs w:val="24"/>
        </w:rPr>
      </w:pPr>
    </w:p>
    <w:p w14:paraId="292CA14B" w14:textId="77777777" w:rsidR="00C64C1B" w:rsidRDefault="00373D87" w:rsidP="00F33C20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 w:rsidRPr="00E70154">
        <w:rPr>
          <w:rFonts w:asciiTheme="minorHAnsi" w:hAnsiTheme="minorHAnsi" w:cs="Arial"/>
          <w:sz w:val="24"/>
          <w:szCs w:val="24"/>
        </w:rPr>
        <w:t xml:space="preserve">Inicialmente, </w:t>
      </w:r>
      <w:r w:rsidR="00D860F3">
        <w:rPr>
          <w:rFonts w:asciiTheme="minorHAnsi" w:hAnsiTheme="minorHAnsi" w:cs="Arial"/>
          <w:sz w:val="24"/>
          <w:szCs w:val="24"/>
        </w:rPr>
        <w:t>cumpre esclarecer que a matéria veiculada na proposi</w:t>
      </w:r>
      <w:r w:rsidR="000D2083">
        <w:rPr>
          <w:rFonts w:asciiTheme="minorHAnsi" w:hAnsiTheme="minorHAnsi" w:cs="Arial"/>
          <w:sz w:val="24"/>
          <w:szCs w:val="24"/>
        </w:rPr>
        <w:t xml:space="preserve">tura ora analisada não é inédita: embora tal </w:t>
      </w:r>
      <w:r w:rsidR="00F33C20">
        <w:rPr>
          <w:rFonts w:asciiTheme="minorHAnsi" w:hAnsiTheme="minorHAnsi" w:cs="Arial"/>
          <w:sz w:val="24"/>
          <w:szCs w:val="24"/>
        </w:rPr>
        <w:t xml:space="preserve">hipótese de isenção </w:t>
      </w:r>
      <w:r w:rsidR="000D2083">
        <w:rPr>
          <w:rFonts w:asciiTheme="minorHAnsi" w:hAnsiTheme="minorHAnsi" w:cs="Arial"/>
          <w:sz w:val="24"/>
          <w:szCs w:val="24"/>
        </w:rPr>
        <w:t xml:space="preserve">não constasse originalmente do Projeto de Lei nº 156/2006 – propositura que originou a Lei nº 6.512/2007 –, sua introdução se deu durante </w:t>
      </w:r>
      <w:r w:rsidR="00F33C20">
        <w:rPr>
          <w:rFonts w:asciiTheme="minorHAnsi" w:hAnsiTheme="minorHAnsi" w:cs="Arial"/>
          <w:sz w:val="24"/>
          <w:szCs w:val="24"/>
        </w:rPr>
        <w:t>a tramitação d</w:t>
      </w:r>
      <w:r w:rsidR="000D2083">
        <w:rPr>
          <w:rFonts w:asciiTheme="minorHAnsi" w:hAnsiTheme="minorHAnsi" w:cs="Arial"/>
          <w:sz w:val="24"/>
          <w:szCs w:val="24"/>
        </w:rPr>
        <w:t>este projeto, por meio da emenda nº 02, de autoria do então vereador Carlos Alberto do Nascimento.</w:t>
      </w:r>
    </w:p>
    <w:p w14:paraId="254BCDD7" w14:textId="77777777" w:rsidR="002020B8" w:rsidRDefault="002020B8" w:rsidP="00F33C20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30348BC5" w14:textId="77777777" w:rsidR="00F33C20" w:rsidRDefault="000D2083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Referida emenda nº 02</w:t>
      </w:r>
      <w:r w:rsidR="00163D45">
        <w:rPr>
          <w:rFonts w:asciiTheme="minorHAnsi" w:hAnsiTheme="minorHAnsi" w:cs="Arial"/>
          <w:sz w:val="24"/>
          <w:szCs w:val="24"/>
        </w:rPr>
        <w:t xml:space="preserve"> – que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63D45">
        <w:rPr>
          <w:rFonts w:asciiTheme="minorHAnsi" w:hAnsiTheme="minorHAnsi" w:cs="Arial"/>
          <w:sz w:val="24"/>
          <w:szCs w:val="24"/>
        </w:rPr>
        <w:t>visava ao acréscimo do</w:t>
      </w:r>
      <w:r>
        <w:rPr>
          <w:rFonts w:asciiTheme="minorHAnsi" w:hAnsiTheme="minorHAnsi" w:cs="Arial"/>
          <w:sz w:val="24"/>
          <w:szCs w:val="24"/>
        </w:rPr>
        <w:t xml:space="preserve"> inciso X ao artigo 4º do Projeto de Lei nº 156/2006, com a seguinte redação: “X – veículos pertencentes a proprietários de agricultura familiar que possuam área no máximo de 15 (quinze) ha (hectares</w:t>
      </w:r>
      <w:r w:rsidR="00163D45">
        <w:rPr>
          <w:rFonts w:asciiTheme="minorHAnsi" w:hAnsiTheme="minorHAnsi" w:cs="Arial"/>
          <w:sz w:val="24"/>
          <w:szCs w:val="24"/>
        </w:rPr>
        <w:t>)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163D45">
        <w:rPr>
          <w:rFonts w:asciiTheme="minorHAnsi" w:hAnsiTheme="minorHAnsi" w:cs="Arial"/>
          <w:sz w:val="24"/>
          <w:szCs w:val="24"/>
        </w:rPr>
        <w:t xml:space="preserve"> – </w:t>
      </w:r>
      <w:proofErr w:type="gramStart"/>
      <w:r w:rsidR="00163D45">
        <w:rPr>
          <w:rFonts w:asciiTheme="minorHAnsi" w:hAnsiTheme="minorHAnsi" w:cs="Arial"/>
          <w:sz w:val="24"/>
          <w:szCs w:val="24"/>
        </w:rPr>
        <w:t>fora</w:t>
      </w:r>
      <w:proofErr w:type="gramEnd"/>
      <w:r w:rsidR="00163D45">
        <w:rPr>
          <w:rFonts w:asciiTheme="minorHAnsi" w:hAnsiTheme="minorHAnsi" w:cs="Arial"/>
          <w:sz w:val="24"/>
          <w:szCs w:val="24"/>
        </w:rPr>
        <w:t xml:space="preserve"> aprovada pela Câmara Municipal, tendo sido posteriormente incorporada ao texto do Projeto de Lei nº 156/2006 aprovado e remetido à Prefeitura do Município para sanção.</w:t>
      </w:r>
    </w:p>
    <w:p w14:paraId="68246807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6AE2D004" w14:textId="47FD03D6" w:rsidR="00163D45" w:rsidRDefault="00163D45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efeito, o Prefeito Municipal à época, ao sancionar a matéria, decidiu por vetar – jurídica e politicamente – o dispositivo resultante desta emenda (fls. 25 e 26 do Projeto de Lei nº 156/2006), utilizando-se, para t</w:t>
      </w:r>
      <w:r w:rsidR="002020B8">
        <w:rPr>
          <w:rFonts w:asciiTheme="minorHAnsi" w:hAnsiTheme="minorHAnsi" w:cs="Arial"/>
          <w:sz w:val="24"/>
          <w:szCs w:val="24"/>
        </w:rPr>
        <w:t>anto, dos seguintes argumentos:</w:t>
      </w:r>
    </w:p>
    <w:p w14:paraId="3D7B8DD5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1A532649" w14:textId="77777777" w:rsidR="00163D45" w:rsidRDefault="00163D45" w:rsidP="00163D45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proofErr w:type="gramStart"/>
      <w:r>
        <w:rPr>
          <w:rFonts w:asciiTheme="minorHAnsi" w:hAnsiTheme="minorHAnsi" w:cs="Arial"/>
          <w:sz w:val="24"/>
          <w:szCs w:val="24"/>
        </w:rPr>
        <w:t>[...] Sem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embargo da relevante intenção do digno parlamentar, a proposta padece de vício de iniciativa.</w:t>
      </w:r>
    </w:p>
    <w:p w14:paraId="02F089AD" w14:textId="77777777" w:rsidR="00163D45" w:rsidRDefault="00163D45" w:rsidP="00163D45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 efeito, a competência tributária, entendida como sendo a capacidade para criar, </w:t>
      </w:r>
      <w:r>
        <w:rPr>
          <w:rFonts w:asciiTheme="minorHAnsi" w:hAnsiTheme="minorHAnsi" w:cs="Arial"/>
          <w:i/>
          <w:sz w:val="24"/>
          <w:szCs w:val="24"/>
        </w:rPr>
        <w:t xml:space="preserve">in </w:t>
      </w:r>
      <w:proofErr w:type="spellStart"/>
      <w:r>
        <w:rPr>
          <w:rFonts w:asciiTheme="minorHAnsi" w:hAnsiTheme="minorHAnsi" w:cs="Arial"/>
          <w:i/>
          <w:sz w:val="24"/>
          <w:szCs w:val="24"/>
        </w:rPr>
        <w:t>abstracto</w:t>
      </w:r>
      <w:proofErr w:type="spellEnd"/>
      <w:r>
        <w:rPr>
          <w:rFonts w:asciiTheme="minorHAnsi" w:hAnsiTheme="minorHAnsi" w:cs="Arial"/>
          <w:sz w:val="24"/>
          <w:szCs w:val="24"/>
        </w:rPr>
        <w:t>, tributos, encerra em sua natureza, também, a faculdade de conceder isenções. A par disso, a competência tributária da pessoa política é indelegável e intransferível. Por conseguinte, também o é a faculdade de conceder isenções.</w:t>
      </w:r>
    </w:p>
    <w:p w14:paraId="60DE6C71" w14:textId="77777777" w:rsidR="00163D45" w:rsidRPr="00163D45" w:rsidRDefault="00163D45" w:rsidP="00163D45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[...] Ressalve-se</w:t>
      </w:r>
      <w:proofErr w:type="gramEnd"/>
      <w:r>
        <w:rPr>
          <w:rFonts w:asciiTheme="minorHAnsi" w:hAnsiTheme="minorHAnsi" w:cs="Arial"/>
          <w:sz w:val="24"/>
          <w:szCs w:val="24"/>
        </w:rPr>
        <w:t>, entretanto, que a nobre intenção do ilustre Edil autora da Emenda nº 02 nem por isto deixaria de ser contemplada na redação final do respectivo texto legal, considerando-se, em especial, que as hipóteses por ele visadas poderão ser atendidas, se o caso, pelo permissivo estatuído no inciso VIII, do artigo 4º, da Lei em questão. ”</w:t>
      </w:r>
    </w:p>
    <w:p w14:paraId="4FF3068A" w14:textId="77777777" w:rsidR="00C64C1B" w:rsidRDefault="00163D45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94EC4A9" w14:textId="325CD20E" w:rsidR="00725556" w:rsidRDefault="0099002C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retrospectiva acima disposta assume importância uma vez que a propositura ora analisada reinaugura a discussão então ocorrida na tramitação do Projeto de Lei nº 156/2006: ou seja, a presente propositura permite que esta Casa de Leis uma vez mais </w:t>
      </w:r>
      <w:r>
        <w:rPr>
          <w:rFonts w:asciiTheme="minorHAnsi" w:hAnsiTheme="minorHAnsi" w:cs="Arial"/>
          <w:sz w:val="24"/>
          <w:szCs w:val="24"/>
        </w:rPr>
        <w:lastRenderedPageBreak/>
        <w:t>se debruce sobre a viabilidade de se criar nova hipótese de isenção do pedágio, assim como se debruce sobre os argumentos então colacionados pelo Prefeito Municipal relativamente ao veto aposto à então emenda nº 02 ao Projeto de Lei nº 156/2006.</w:t>
      </w:r>
    </w:p>
    <w:p w14:paraId="50891251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00AA54F4" w14:textId="44477B17" w:rsidR="0099002C" w:rsidRDefault="0099002C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Assim sendo, em que pese </w:t>
      </w:r>
      <w:r w:rsidR="00BC0CD9">
        <w:rPr>
          <w:rFonts w:asciiTheme="minorHAnsi" w:hAnsiTheme="minorHAnsi" w:cs="Arial"/>
          <w:sz w:val="24"/>
          <w:szCs w:val="24"/>
        </w:rPr>
        <w:t>ser ferrenha</w:t>
      </w:r>
      <w:r w:rsidR="00D41F98">
        <w:rPr>
          <w:rFonts w:ascii="Calibri" w:hAnsi="Calibri" w:cs="Arial"/>
          <w:sz w:val="24"/>
          <w:szCs w:val="24"/>
        </w:rPr>
        <w:t xml:space="preserve"> </w:t>
      </w:r>
      <w:r w:rsidR="00BC0CD9">
        <w:rPr>
          <w:rFonts w:asciiTheme="minorHAnsi" w:hAnsiTheme="minorHAnsi" w:cs="Arial"/>
          <w:sz w:val="24"/>
          <w:szCs w:val="24"/>
        </w:rPr>
        <w:t xml:space="preserve">a discussão </w:t>
      </w:r>
      <w:r w:rsidR="00D41F98">
        <w:rPr>
          <w:rFonts w:asciiTheme="minorHAnsi" w:hAnsiTheme="minorHAnsi" w:cs="Arial"/>
          <w:sz w:val="24"/>
          <w:szCs w:val="24"/>
        </w:rPr>
        <w:t xml:space="preserve">doutrinária </w:t>
      </w:r>
      <w:r w:rsidR="00BC0CD9">
        <w:rPr>
          <w:rFonts w:asciiTheme="minorHAnsi" w:hAnsiTheme="minorHAnsi" w:cs="Arial"/>
          <w:sz w:val="24"/>
          <w:szCs w:val="24"/>
        </w:rPr>
        <w:t>acerca da natureza jurídica do pedágio – se é taxa (tributo) ou tarifa (preço público) –</w:t>
      </w:r>
      <w:r w:rsidR="006B25B2">
        <w:rPr>
          <w:rFonts w:asciiTheme="minorHAnsi" w:hAnsiTheme="minorHAnsi" w:cs="Arial"/>
          <w:sz w:val="24"/>
          <w:szCs w:val="24"/>
        </w:rPr>
        <w:t xml:space="preserve">, </w:t>
      </w:r>
      <w:r w:rsidR="00D41F98">
        <w:rPr>
          <w:rFonts w:asciiTheme="minorHAnsi" w:hAnsiTheme="minorHAnsi" w:cs="Arial"/>
          <w:sz w:val="24"/>
          <w:szCs w:val="24"/>
        </w:rPr>
        <w:t xml:space="preserve">é imperativo que se esclareça </w:t>
      </w:r>
      <w:r w:rsidR="00211A6D">
        <w:rPr>
          <w:rFonts w:asciiTheme="minorHAnsi" w:hAnsiTheme="minorHAnsi" w:cs="Arial"/>
          <w:sz w:val="24"/>
          <w:szCs w:val="24"/>
        </w:rPr>
        <w:t xml:space="preserve">desde já </w:t>
      </w:r>
      <w:r w:rsidR="00D41F98">
        <w:rPr>
          <w:rFonts w:asciiTheme="minorHAnsi" w:hAnsiTheme="minorHAnsi" w:cs="Arial"/>
          <w:sz w:val="24"/>
          <w:szCs w:val="24"/>
        </w:rPr>
        <w:t>que o Colendo Supremo Tribunal Federal consignou, em sede de controle concentrado-abstrato de constitucionalidade</w:t>
      </w:r>
      <w:r w:rsidR="00CC4B22">
        <w:rPr>
          <w:rFonts w:asciiTheme="minorHAnsi" w:hAnsiTheme="minorHAnsi" w:cs="Arial"/>
          <w:sz w:val="24"/>
          <w:szCs w:val="24"/>
        </w:rPr>
        <w:t xml:space="preserve"> – e, portanto, com efeito </w:t>
      </w:r>
      <w:r w:rsidR="00CC4B22">
        <w:rPr>
          <w:rFonts w:asciiTheme="minorHAnsi" w:hAnsiTheme="minorHAnsi" w:cs="Arial"/>
          <w:i/>
          <w:sz w:val="24"/>
          <w:szCs w:val="24"/>
        </w:rPr>
        <w:t xml:space="preserve">erga omnes </w:t>
      </w:r>
      <w:r w:rsidR="00CC4B22">
        <w:rPr>
          <w:rFonts w:asciiTheme="minorHAnsi" w:hAnsiTheme="minorHAnsi" w:cs="Arial"/>
          <w:sz w:val="24"/>
          <w:szCs w:val="24"/>
        </w:rPr>
        <w:t>e eficácia vinculante –</w:t>
      </w:r>
      <w:r w:rsidR="00D41F98">
        <w:rPr>
          <w:rFonts w:asciiTheme="minorHAnsi" w:hAnsiTheme="minorHAnsi" w:cs="Arial"/>
          <w:sz w:val="24"/>
          <w:szCs w:val="24"/>
        </w:rPr>
        <w:t xml:space="preserve">, possuir o pedágio natureza jurídica de </w:t>
      </w:r>
      <w:r w:rsidR="00211A6D">
        <w:rPr>
          <w:rFonts w:asciiTheme="minorHAnsi" w:hAnsiTheme="minorHAnsi" w:cs="Arial"/>
          <w:sz w:val="24"/>
          <w:szCs w:val="24"/>
        </w:rPr>
        <w:t>preço público</w:t>
      </w:r>
      <w:r w:rsidR="002020B8">
        <w:rPr>
          <w:rFonts w:asciiTheme="minorHAnsi" w:hAnsiTheme="minorHAnsi" w:cs="Arial"/>
          <w:sz w:val="24"/>
          <w:szCs w:val="24"/>
        </w:rPr>
        <w:t>:</w:t>
      </w:r>
    </w:p>
    <w:p w14:paraId="043D71E8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2189B935" w14:textId="77777777" w:rsidR="00D41F98" w:rsidRPr="00D41F98" w:rsidRDefault="00D41F98" w:rsidP="00D41F98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 w:rsidRPr="00D41F98">
        <w:rPr>
          <w:rFonts w:asciiTheme="minorHAnsi" w:hAnsiTheme="minorHAnsi" w:cs="Arial"/>
          <w:sz w:val="24"/>
          <w:szCs w:val="24"/>
        </w:rPr>
        <w:t>EMENTA: TRIBUTÁRIO E CONSTITUCIONAL. PEDÁGIO.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NATUREZA JURÍDICA DE PREÇO PÚBLICO. DECRETO 34.417/92, DO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ESTADO DO RIO GRANDE DO SUL. CONSTITUCIONALIDADE.</w:t>
      </w:r>
    </w:p>
    <w:p w14:paraId="3B92F24F" w14:textId="77777777" w:rsidR="00D41F98" w:rsidRPr="00D41F98" w:rsidRDefault="00D41F98" w:rsidP="00D41F98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 w:rsidRPr="00D41F98">
        <w:rPr>
          <w:rFonts w:asciiTheme="minorHAnsi" w:hAnsiTheme="minorHAnsi" w:cs="Arial"/>
          <w:sz w:val="24"/>
          <w:szCs w:val="24"/>
        </w:rPr>
        <w:t>1. O pedágio cobrado pela efetiva utilização de rodovias conservadas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pelo Poder Público, cuja cobrança está autorizada pelo inciso V, parte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final, do art. 150 da Constituição de 1988, não tem natureza jurídica 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taxa, mas sim de preço público, não estando a sua instituição,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41F98">
        <w:rPr>
          <w:rFonts w:asciiTheme="minorHAnsi" w:hAnsiTheme="minorHAnsi" w:cs="Arial"/>
          <w:sz w:val="24"/>
          <w:szCs w:val="24"/>
        </w:rPr>
        <w:t>consequentemente, sujeita ao princípio da legalidade estrita.</w:t>
      </w:r>
    </w:p>
    <w:p w14:paraId="0F668DB1" w14:textId="77777777" w:rsidR="00D41F98" w:rsidRDefault="00D41F98" w:rsidP="00D41F98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 w:rsidRPr="00D41F98">
        <w:rPr>
          <w:rFonts w:asciiTheme="minorHAnsi" w:hAnsiTheme="minorHAnsi" w:cs="Arial"/>
          <w:sz w:val="24"/>
          <w:szCs w:val="24"/>
        </w:rPr>
        <w:t>2. Ação direta de inconstitucionalidade julgada improcedente.</w:t>
      </w:r>
    </w:p>
    <w:p w14:paraId="6C5677F2" w14:textId="77777777" w:rsidR="00D41F98" w:rsidRDefault="00D41F98" w:rsidP="00D41F98">
      <w:pPr>
        <w:ind w:left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ADI 800 RS, Rel. Min. </w:t>
      </w:r>
      <w:proofErr w:type="spellStart"/>
      <w:r>
        <w:rPr>
          <w:rFonts w:asciiTheme="minorHAnsi" w:hAnsiTheme="minorHAnsi" w:cs="Arial"/>
          <w:sz w:val="24"/>
          <w:szCs w:val="24"/>
        </w:rPr>
        <w:t>Teori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Zavascki, </w:t>
      </w:r>
      <w:r w:rsidRPr="00D41F98">
        <w:rPr>
          <w:rFonts w:asciiTheme="minorHAnsi" w:hAnsiTheme="minorHAnsi" w:cs="Arial"/>
          <w:sz w:val="24"/>
          <w:szCs w:val="24"/>
        </w:rPr>
        <w:t>DJE 01/07/2014</w:t>
      </w:r>
      <w:r>
        <w:rPr>
          <w:rFonts w:asciiTheme="minorHAnsi" w:hAnsiTheme="minorHAnsi" w:cs="Arial"/>
          <w:sz w:val="24"/>
          <w:szCs w:val="24"/>
        </w:rPr>
        <w:t>.</w:t>
      </w:r>
    </w:p>
    <w:p w14:paraId="4C44650A" w14:textId="77777777" w:rsidR="00D41F98" w:rsidRPr="00D41F98" w:rsidRDefault="00D41F98" w:rsidP="00D41F98">
      <w:pPr>
        <w:jc w:val="both"/>
        <w:rPr>
          <w:rFonts w:asciiTheme="minorHAnsi" w:hAnsiTheme="minorHAnsi" w:cs="Arial"/>
          <w:sz w:val="24"/>
          <w:szCs w:val="24"/>
        </w:rPr>
      </w:pPr>
    </w:p>
    <w:p w14:paraId="76E520A6" w14:textId="65BBF93B" w:rsidR="00D53B87" w:rsidRDefault="00CC4B22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definição da natureza jurídica do pedágio </w:t>
      </w:r>
      <w:r w:rsidR="008E10A9">
        <w:rPr>
          <w:rFonts w:asciiTheme="minorHAnsi" w:hAnsiTheme="minorHAnsi" w:cs="Arial"/>
          <w:sz w:val="24"/>
          <w:szCs w:val="24"/>
        </w:rPr>
        <w:t xml:space="preserve">é </w:t>
      </w:r>
      <w:r w:rsidR="001B7A11">
        <w:rPr>
          <w:rFonts w:asciiTheme="minorHAnsi" w:hAnsiTheme="minorHAnsi" w:cs="Arial"/>
          <w:sz w:val="24"/>
          <w:szCs w:val="24"/>
        </w:rPr>
        <w:t>de suma importância na análise da presente propositura</w:t>
      </w:r>
      <w:r w:rsidR="006937DE">
        <w:rPr>
          <w:rFonts w:asciiTheme="minorHAnsi" w:hAnsiTheme="minorHAnsi" w:cs="Arial"/>
          <w:sz w:val="24"/>
          <w:szCs w:val="24"/>
        </w:rPr>
        <w:t>, uma vez que, distintamente do que exposto nos</w:t>
      </w:r>
      <w:r w:rsidR="001B7A11">
        <w:rPr>
          <w:rFonts w:asciiTheme="minorHAnsi" w:hAnsiTheme="minorHAnsi" w:cs="Arial"/>
          <w:sz w:val="24"/>
          <w:szCs w:val="24"/>
        </w:rPr>
        <w:t xml:space="preserve"> argumentos que fundamentaram o veto jurídico aposto pelo Prefeito Municipal ao artigo 4º, inciso X da </w:t>
      </w:r>
      <w:r w:rsidR="00271392">
        <w:rPr>
          <w:rFonts w:asciiTheme="minorHAnsi" w:hAnsiTheme="minorHAnsi" w:cs="Arial"/>
          <w:sz w:val="24"/>
          <w:szCs w:val="24"/>
        </w:rPr>
        <w:t>L</w:t>
      </w:r>
      <w:r w:rsidR="001B7A11">
        <w:rPr>
          <w:rFonts w:asciiTheme="minorHAnsi" w:hAnsiTheme="minorHAnsi" w:cs="Arial"/>
          <w:sz w:val="24"/>
          <w:szCs w:val="24"/>
        </w:rPr>
        <w:t>ei nº 6.512/2006</w:t>
      </w:r>
      <w:r w:rsidR="00271392">
        <w:rPr>
          <w:rFonts w:asciiTheme="minorHAnsi" w:hAnsiTheme="minorHAnsi" w:cs="Arial"/>
          <w:sz w:val="24"/>
          <w:szCs w:val="24"/>
        </w:rPr>
        <w:t>, a</w:t>
      </w:r>
      <w:r w:rsidR="001B7A11">
        <w:rPr>
          <w:rFonts w:asciiTheme="minorHAnsi" w:hAnsiTheme="minorHAnsi" w:cs="Arial"/>
          <w:sz w:val="24"/>
          <w:szCs w:val="24"/>
        </w:rPr>
        <w:t xml:space="preserve"> competência legislativa em matéria tributária não é exclusiva do Poder </w:t>
      </w:r>
      <w:proofErr w:type="gramStart"/>
      <w:r w:rsidR="001B7A11">
        <w:rPr>
          <w:rFonts w:asciiTheme="minorHAnsi" w:hAnsiTheme="minorHAnsi" w:cs="Arial"/>
          <w:sz w:val="24"/>
          <w:szCs w:val="24"/>
        </w:rPr>
        <w:t>Executivo</w:t>
      </w:r>
      <w:r w:rsidR="006937DE">
        <w:rPr>
          <w:rFonts w:asciiTheme="minorHAnsi" w:hAnsiTheme="minorHAnsi" w:cs="Arial"/>
          <w:sz w:val="24"/>
          <w:szCs w:val="24"/>
        </w:rPr>
        <w:t xml:space="preserve"> </w:t>
      </w:r>
      <w:r w:rsidR="006937DE">
        <w:rPr>
          <w:rStyle w:val="Refdenotaderodap"/>
          <w:rFonts w:asciiTheme="minorHAnsi" w:hAnsiTheme="minorHAnsi"/>
          <w:sz w:val="24"/>
          <w:szCs w:val="24"/>
        </w:rPr>
        <w:footnoteReference w:id="1"/>
      </w:r>
      <w:r w:rsidR="002020B8">
        <w:rPr>
          <w:rFonts w:asciiTheme="minorHAnsi" w:hAnsiTheme="minorHAnsi" w:cs="Arial"/>
          <w:sz w:val="24"/>
          <w:szCs w:val="24"/>
        </w:rPr>
        <w:t>.</w:t>
      </w:r>
      <w:proofErr w:type="gramEnd"/>
    </w:p>
    <w:p w14:paraId="0441A74D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4F226F59" w14:textId="7B5DEC17" w:rsidR="001B7A11" w:rsidRDefault="00D53B87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É de se ressaltar, neste sentido, </w:t>
      </w:r>
      <w:r w:rsidRPr="00D53B87">
        <w:rPr>
          <w:rFonts w:asciiTheme="minorHAnsi" w:hAnsiTheme="minorHAnsi" w:cs="Arial"/>
          <w:sz w:val="24"/>
          <w:szCs w:val="24"/>
        </w:rPr>
        <w:t xml:space="preserve">a atitude contraditória </w:t>
      </w:r>
      <w:r>
        <w:rPr>
          <w:rFonts w:asciiTheme="minorHAnsi" w:hAnsiTheme="minorHAnsi" w:cs="Arial"/>
          <w:sz w:val="24"/>
          <w:szCs w:val="24"/>
        </w:rPr>
        <w:t xml:space="preserve">e incoerente </w:t>
      </w:r>
      <w:r w:rsidRPr="00D53B87">
        <w:rPr>
          <w:rFonts w:asciiTheme="minorHAnsi" w:hAnsiTheme="minorHAnsi" w:cs="Arial"/>
          <w:sz w:val="24"/>
          <w:szCs w:val="24"/>
        </w:rPr>
        <w:t>do Poder Executivo Municipal:</w:t>
      </w:r>
      <w:r w:rsidRPr="00D53B87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u w:val="single"/>
        </w:rPr>
        <w:t>ao vetar o artigo 4º, inciso X da Lei nº 6.512/2006, o Executivo Municipal encampou a tese jurídica de que o pedágio então instituído possuía natureza jurídica de tributo (uma taxa, no caso); contudo, as diversas alterações do valor</w:t>
      </w:r>
      <w:r w:rsidR="00832C6D">
        <w:rPr>
          <w:rFonts w:asciiTheme="minorHAnsi" w:hAnsiTheme="minorHAnsi" w:cs="Arial"/>
          <w:b/>
          <w:sz w:val="24"/>
          <w:szCs w:val="24"/>
          <w:u w:val="single"/>
        </w:rPr>
        <w:t xml:space="preserve"> do</w:t>
      </w:r>
      <w:r>
        <w:rPr>
          <w:rFonts w:asciiTheme="minorHAnsi" w:hAnsiTheme="minorHAnsi" w:cs="Arial"/>
          <w:b/>
          <w:sz w:val="24"/>
          <w:szCs w:val="24"/>
          <w:u w:val="single"/>
        </w:rPr>
        <w:t xml:space="preserve"> pedágio que sucederam à sua instalação foram instrumentalizadas por meio de decretos municipais – em total afronta ao princípio da legalidade tributária.</w:t>
      </w:r>
      <w:r w:rsidRPr="004D4D71">
        <w:rPr>
          <w:rFonts w:asciiTheme="minorHAnsi" w:hAnsiTheme="minorHAnsi" w:cs="Arial"/>
          <w:b/>
          <w:sz w:val="24"/>
          <w:szCs w:val="24"/>
        </w:rPr>
        <w:t xml:space="preserve"> </w:t>
      </w:r>
      <w:r w:rsidR="004D4D71">
        <w:rPr>
          <w:rFonts w:asciiTheme="minorHAnsi" w:hAnsiTheme="minorHAnsi" w:cs="Arial"/>
          <w:sz w:val="24"/>
          <w:szCs w:val="24"/>
        </w:rPr>
        <w:t xml:space="preserve">Ou seja: conforme suas conveniências – e sem qualquer devotamento a um padrão mínimo de juridicidade – o Poder Executivo Municipal </w:t>
      </w:r>
      <w:r w:rsidR="00211A6D">
        <w:rPr>
          <w:rFonts w:asciiTheme="minorHAnsi" w:hAnsiTheme="minorHAnsi" w:cs="Arial"/>
          <w:sz w:val="24"/>
          <w:szCs w:val="24"/>
        </w:rPr>
        <w:t>variou seu entendimento acerca da natureza jurídica do pedágio – para umas situações</w:t>
      </w:r>
      <w:r w:rsidR="002020B8">
        <w:rPr>
          <w:rFonts w:asciiTheme="minorHAnsi" w:hAnsiTheme="minorHAnsi" w:cs="Arial"/>
          <w:sz w:val="24"/>
          <w:szCs w:val="24"/>
        </w:rPr>
        <w:t>, tributo; para outras, tarifa.</w:t>
      </w:r>
    </w:p>
    <w:p w14:paraId="42DEE0AC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33A32FDA" w14:textId="5D3724BE" w:rsidR="00211A6D" w:rsidRDefault="00211A6D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efeito, em que pese os questionáveis acontecimentos pretéritos, fato é que</w:t>
      </w:r>
      <w:r w:rsidR="00577339">
        <w:rPr>
          <w:rFonts w:asciiTheme="minorHAnsi" w:hAnsiTheme="minorHAnsi" w:cs="Arial"/>
          <w:sz w:val="24"/>
          <w:szCs w:val="24"/>
        </w:rPr>
        <w:t xml:space="preserve"> a sedimentação da natureza jurídica do pedágio como preço público trouxe à presente propositura em situação desfavorável: isto se deve ao fato de que ambas a doutrina e a jurisprudência são uníssonas no entendimento de que, (i) em se tratando o preço público de contraprestação a um serviço público, aliado ao fato de que (</w:t>
      </w:r>
      <w:proofErr w:type="spellStart"/>
      <w:r w:rsidR="00577339">
        <w:rPr>
          <w:rFonts w:asciiTheme="minorHAnsi" w:hAnsiTheme="minorHAnsi" w:cs="Arial"/>
          <w:sz w:val="24"/>
          <w:szCs w:val="24"/>
        </w:rPr>
        <w:t>ii</w:t>
      </w:r>
      <w:proofErr w:type="spellEnd"/>
      <w:r w:rsidR="00577339">
        <w:rPr>
          <w:rFonts w:asciiTheme="minorHAnsi" w:hAnsiTheme="minorHAnsi" w:cs="Arial"/>
          <w:sz w:val="24"/>
          <w:szCs w:val="24"/>
        </w:rPr>
        <w:t xml:space="preserve">) em sendo a competência administrativa e legislativa dos serviços públicos exclusivamente acometida ao Poder </w:t>
      </w:r>
      <w:r w:rsidR="00577339">
        <w:rPr>
          <w:rFonts w:asciiTheme="minorHAnsi" w:hAnsiTheme="minorHAnsi" w:cs="Arial"/>
          <w:sz w:val="24"/>
          <w:szCs w:val="24"/>
        </w:rPr>
        <w:lastRenderedPageBreak/>
        <w:t>Executivo, (</w:t>
      </w:r>
      <w:proofErr w:type="spellStart"/>
      <w:r w:rsidR="00577339">
        <w:rPr>
          <w:rFonts w:asciiTheme="minorHAnsi" w:hAnsiTheme="minorHAnsi" w:cs="Arial"/>
          <w:sz w:val="24"/>
          <w:szCs w:val="24"/>
        </w:rPr>
        <w:t>iii</w:t>
      </w:r>
      <w:proofErr w:type="spellEnd"/>
      <w:r w:rsidR="00577339">
        <w:rPr>
          <w:rFonts w:asciiTheme="minorHAnsi" w:hAnsiTheme="minorHAnsi" w:cs="Arial"/>
          <w:sz w:val="24"/>
          <w:szCs w:val="24"/>
        </w:rPr>
        <w:t>) todas as questões atinentes ao preço público – base de cálculo, reajuste, forma de cobrança e eventuais isenções – somente podem ser definidas mediante atividade e iniciativa do Poder Executivo.</w:t>
      </w:r>
    </w:p>
    <w:p w14:paraId="27896691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1973EA5A" w14:textId="1780D6A7" w:rsidR="004D4D71" w:rsidRDefault="00577339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Assim sendo, a despeito da nobreza da finalidade da presente propositura, a mesma não poderá validamente pr</w:t>
      </w:r>
      <w:r w:rsidR="002020B8">
        <w:rPr>
          <w:rFonts w:asciiTheme="minorHAnsi" w:hAnsiTheme="minorHAnsi" w:cs="Arial"/>
          <w:sz w:val="24"/>
          <w:szCs w:val="24"/>
        </w:rPr>
        <w:t>osperar.</w:t>
      </w:r>
    </w:p>
    <w:p w14:paraId="2870D1D5" w14:textId="77777777" w:rsidR="002020B8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</w:p>
    <w:p w14:paraId="11A92983" w14:textId="4C4FA336" w:rsidR="009C4CAF" w:rsidRPr="00E70154" w:rsidRDefault="002020B8" w:rsidP="00C64C1B">
      <w:pPr>
        <w:ind w:left="34" w:firstLine="19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É o parecer</w:t>
      </w:r>
      <w:r w:rsidR="009C4CAF" w:rsidRPr="00E70154">
        <w:rPr>
          <w:rFonts w:asciiTheme="minorHAnsi" w:hAnsiTheme="minorHAnsi" w:cs="Arial"/>
          <w:sz w:val="24"/>
          <w:szCs w:val="24"/>
        </w:rPr>
        <w:t>.</w:t>
      </w:r>
    </w:p>
    <w:p w14:paraId="21AA3EB7" w14:textId="77777777" w:rsidR="009C4CAF" w:rsidRPr="00E70154" w:rsidRDefault="009C4CAF" w:rsidP="00C64C1B">
      <w:pPr>
        <w:ind w:left="34"/>
        <w:jc w:val="both"/>
        <w:rPr>
          <w:rFonts w:asciiTheme="minorHAnsi" w:hAnsiTheme="minorHAnsi" w:cs="Arial"/>
          <w:sz w:val="24"/>
          <w:szCs w:val="24"/>
        </w:rPr>
      </w:pPr>
    </w:p>
    <w:p w14:paraId="1F269F4A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73477C">
        <w:rPr>
          <w:rFonts w:asciiTheme="minorHAnsi" w:hAnsiTheme="minorHAnsi" w:cs="Arial"/>
          <w:bCs/>
          <w:sz w:val="24"/>
          <w:szCs w:val="24"/>
        </w:rPr>
        <w:t>Sala de reuniões das comissões, ______________________</w:t>
      </w:r>
    </w:p>
    <w:p w14:paraId="27B99B26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1681BC4D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0A2191FE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44EA83B5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73477C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14:paraId="73CB86B3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73477C">
        <w:rPr>
          <w:rFonts w:asciiTheme="minorHAnsi" w:hAnsiTheme="minorHAnsi" w:cs="Arial"/>
          <w:bCs/>
          <w:sz w:val="24"/>
          <w:szCs w:val="24"/>
        </w:rPr>
        <w:t>José Carlos Porsani</w:t>
      </w:r>
    </w:p>
    <w:p w14:paraId="61FB79F6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73477C">
        <w:rPr>
          <w:rFonts w:asciiTheme="minorHAnsi" w:hAnsiTheme="minorHAnsi" w:cs="Arial"/>
          <w:bCs/>
          <w:sz w:val="24"/>
          <w:szCs w:val="24"/>
        </w:rPr>
        <w:t>Presidente da CJLR</w:t>
      </w:r>
    </w:p>
    <w:p w14:paraId="0782B2CE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3C12338C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215049DE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14:paraId="202E927B" w14:textId="77777777" w:rsidR="0073477C" w:rsidRPr="0073477C" w:rsidRDefault="0073477C" w:rsidP="0073477C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73477C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14:paraId="2B3AA01C" w14:textId="35B64171" w:rsidR="00B02439" w:rsidRPr="0073477C" w:rsidRDefault="0073477C" w:rsidP="0073477C">
      <w:pPr>
        <w:ind w:left="34"/>
        <w:jc w:val="center"/>
      </w:pPr>
      <w:r w:rsidRPr="0073477C">
        <w:rPr>
          <w:rFonts w:asciiTheme="minorHAnsi" w:hAnsiTheme="minorHAnsi" w:cs="Arial"/>
          <w:bCs/>
          <w:sz w:val="24"/>
          <w:szCs w:val="24"/>
        </w:rPr>
        <w:t>Magal Verri</w:t>
      </w:r>
      <w:r w:rsidRPr="0073477C">
        <w:rPr>
          <w:rFonts w:asciiTheme="minorHAnsi" w:hAnsiTheme="minorHAnsi" w:cs="Arial"/>
          <w:bCs/>
          <w:sz w:val="24"/>
          <w:szCs w:val="24"/>
        </w:rPr>
        <w:tab/>
        <w:t xml:space="preserve">                           Thainara Faria</w:t>
      </w:r>
    </w:p>
    <w:sectPr w:rsidR="00B02439" w:rsidRPr="0073477C" w:rsidSect="00292D27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C893D" w14:textId="77777777" w:rsidR="00D70F53" w:rsidRDefault="00D70F53" w:rsidP="00292D27">
      <w:r>
        <w:separator/>
      </w:r>
    </w:p>
  </w:endnote>
  <w:endnote w:type="continuationSeparator" w:id="0">
    <w:p w14:paraId="135C7915" w14:textId="77777777" w:rsidR="00D70F53" w:rsidRDefault="00D70F53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6626" w14:textId="77777777" w:rsidR="00D70F53" w:rsidRDefault="00D70F53" w:rsidP="00292D27">
      <w:r>
        <w:separator/>
      </w:r>
    </w:p>
  </w:footnote>
  <w:footnote w:type="continuationSeparator" w:id="0">
    <w:p w14:paraId="10700483" w14:textId="77777777" w:rsidR="00D70F53" w:rsidRDefault="00D70F53" w:rsidP="00292D27">
      <w:r>
        <w:continuationSeparator/>
      </w:r>
    </w:p>
  </w:footnote>
  <w:footnote w:id="1">
    <w:p w14:paraId="4CD0ED6C" w14:textId="77777777" w:rsidR="006937DE" w:rsidRPr="006937DE" w:rsidRDefault="006937DE" w:rsidP="002020B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Pela jurisprudência: ARE 743480 MG, com repercussão geral, Rel. Min. Gilmar Mendes, </w:t>
      </w:r>
      <w:r w:rsidRPr="006937DE">
        <w:t>DJE 20/11/2013</w:t>
      </w:r>
      <w:r>
        <w:t xml:space="preserve">. Pela doutrina: BARROS, Sergio Resende de. </w:t>
      </w:r>
      <w:r>
        <w:rPr>
          <w:b/>
        </w:rPr>
        <w:t xml:space="preserve">A iniciativa de das leis tributárias. </w:t>
      </w:r>
      <w:r>
        <w:t xml:space="preserve">Disponível em: </w:t>
      </w:r>
      <w:hyperlink r:id="rId1" w:history="1">
        <w:r w:rsidRPr="0085341B">
          <w:rPr>
            <w:rStyle w:val="Hyperlink"/>
          </w:rPr>
          <w:t>http://www.al.sp.gov.br/repositorio/bibliotecaDigital/472_arquivo.pdf</w:t>
        </w:r>
      </w:hyperlink>
      <w:r>
        <w:t xml:space="preserve"> Acesso em: 07 </w:t>
      </w:r>
      <w:proofErr w:type="spellStart"/>
      <w:r>
        <w:t>abr</w:t>
      </w:r>
      <w:proofErr w:type="spellEnd"/>
      <w:r>
        <w:t xml:space="preserve"> 2017; RODRIGUEZ JÚNIOR, Luiz Fernando. </w:t>
      </w:r>
      <w:r w:rsidRPr="006937DE">
        <w:rPr>
          <w:b/>
        </w:rPr>
        <w:t>Leis em matéria tributária: a legitimidade da gênese parlamentar</w:t>
      </w:r>
      <w:r>
        <w:t xml:space="preserve">. </w:t>
      </w:r>
      <w:r w:rsidRPr="006937DE">
        <w:t>Rev. Estudos Legislativos, Porto Alegre, ano 7, n. 7, p. 95-123, 2013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8F09" w14:textId="77777777" w:rsidR="00292D27" w:rsidRDefault="00295762" w:rsidP="00E70154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9443A" wp14:editId="18CB5D8F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14:paraId="1F001819" w14:textId="77777777" w:rsidR="00292D27" w:rsidRDefault="00292D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B542C"/>
    <w:rsid w:val="000D2083"/>
    <w:rsid w:val="0016222B"/>
    <w:rsid w:val="00163D45"/>
    <w:rsid w:val="00184A5B"/>
    <w:rsid w:val="00193B15"/>
    <w:rsid w:val="001A3951"/>
    <w:rsid w:val="001B7A11"/>
    <w:rsid w:val="001E6743"/>
    <w:rsid w:val="001F29F0"/>
    <w:rsid w:val="002020B8"/>
    <w:rsid w:val="002033EF"/>
    <w:rsid w:val="00211A6D"/>
    <w:rsid w:val="00271392"/>
    <w:rsid w:val="00292D27"/>
    <w:rsid w:val="00295762"/>
    <w:rsid w:val="002C4D45"/>
    <w:rsid w:val="002C66E3"/>
    <w:rsid w:val="00313F7E"/>
    <w:rsid w:val="00315CA8"/>
    <w:rsid w:val="0036301F"/>
    <w:rsid w:val="00373D87"/>
    <w:rsid w:val="003910D3"/>
    <w:rsid w:val="003D1480"/>
    <w:rsid w:val="003E7DFC"/>
    <w:rsid w:val="003F1211"/>
    <w:rsid w:val="00423F04"/>
    <w:rsid w:val="00464265"/>
    <w:rsid w:val="00480BFC"/>
    <w:rsid w:val="00486CD0"/>
    <w:rsid w:val="004A3F0A"/>
    <w:rsid w:val="004C50B3"/>
    <w:rsid w:val="004D4D71"/>
    <w:rsid w:val="004D6249"/>
    <w:rsid w:val="00533B60"/>
    <w:rsid w:val="00577339"/>
    <w:rsid w:val="00583878"/>
    <w:rsid w:val="00586DB5"/>
    <w:rsid w:val="005B1F20"/>
    <w:rsid w:val="005E689D"/>
    <w:rsid w:val="005F55EE"/>
    <w:rsid w:val="00637048"/>
    <w:rsid w:val="006937DE"/>
    <w:rsid w:val="006B2529"/>
    <w:rsid w:val="006B25B2"/>
    <w:rsid w:val="006C476D"/>
    <w:rsid w:val="006C718B"/>
    <w:rsid w:val="00725556"/>
    <w:rsid w:val="0073425F"/>
    <w:rsid w:val="0073477C"/>
    <w:rsid w:val="00782937"/>
    <w:rsid w:val="00794C8D"/>
    <w:rsid w:val="007E32A8"/>
    <w:rsid w:val="00823C87"/>
    <w:rsid w:val="00832C6D"/>
    <w:rsid w:val="00874E7B"/>
    <w:rsid w:val="00883E7E"/>
    <w:rsid w:val="008B5F65"/>
    <w:rsid w:val="008E10A9"/>
    <w:rsid w:val="008F7C69"/>
    <w:rsid w:val="0099002C"/>
    <w:rsid w:val="009C4CAF"/>
    <w:rsid w:val="009E0C3A"/>
    <w:rsid w:val="009E48EC"/>
    <w:rsid w:val="00A26D33"/>
    <w:rsid w:val="00A52A8A"/>
    <w:rsid w:val="00A7327E"/>
    <w:rsid w:val="00A824C5"/>
    <w:rsid w:val="00AD39EA"/>
    <w:rsid w:val="00AD7BF4"/>
    <w:rsid w:val="00B02439"/>
    <w:rsid w:val="00B049F7"/>
    <w:rsid w:val="00B15D8C"/>
    <w:rsid w:val="00B77E1C"/>
    <w:rsid w:val="00BC0CD9"/>
    <w:rsid w:val="00BC2123"/>
    <w:rsid w:val="00BE4B0C"/>
    <w:rsid w:val="00BF334F"/>
    <w:rsid w:val="00C016D0"/>
    <w:rsid w:val="00C64C1B"/>
    <w:rsid w:val="00C650A7"/>
    <w:rsid w:val="00C831D2"/>
    <w:rsid w:val="00CC3B32"/>
    <w:rsid w:val="00CC4B22"/>
    <w:rsid w:val="00CF7BD2"/>
    <w:rsid w:val="00D36FA3"/>
    <w:rsid w:val="00D41F98"/>
    <w:rsid w:val="00D53B87"/>
    <w:rsid w:val="00D70F53"/>
    <w:rsid w:val="00D860F3"/>
    <w:rsid w:val="00DF7F7E"/>
    <w:rsid w:val="00E1367B"/>
    <w:rsid w:val="00E70154"/>
    <w:rsid w:val="00E967CB"/>
    <w:rsid w:val="00EA195E"/>
    <w:rsid w:val="00ED04C4"/>
    <w:rsid w:val="00ED763F"/>
    <w:rsid w:val="00EE7593"/>
    <w:rsid w:val="00EF4284"/>
    <w:rsid w:val="00EF4527"/>
    <w:rsid w:val="00F13B87"/>
    <w:rsid w:val="00F33C20"/>
    <w:rsid w:val="00F65143"/>
    <w:rsid w:val="00F77E83"/>
    <w:rsid w:val="00FB0E6A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E9CD5B"/>
  <w14:defaultImageDpi w14:val="0"/>
  <w15:docId w15:val="{0B0117A4-8D0C-42AB-ACB8-77B7B47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D860F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D860F3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rsid w:val="00D860F3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6937DE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6937D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2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sp.gov.br/repositorio/bibliotecaDigital/472_arquiv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554C-7F48-4BD8-9A31-889ADC78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8</cp:revision>
  <cp:lastPrinted>2015-04-27T21:59:00Z</cp:lastPrinted>
  <dcterms:created xsi:type="dcterms:W3CDTF">2017-04-18T13:01:00Z</dcterms:created>
  <dcterms:modified xsi:type="dcterms:W3CDTF">2017-04-20T19:41:00Z</dcterms:modified>
</cp:coreProperties>
</file>