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91D7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91D78">
        <w:rPr>
          <w:rFonts w:ascii="Tahoma" w:hAnsi="Tahoma" w:cs="Tahoma"/>
          <w:b/>
          <w:sz w:val="32"/>
          <w:szCs w:val="32"/>
          <w:u w:val="single"/>
        </w:rPr>
        <w:t>071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91D78">
        <w:rPr>
          <w:rFonts w:ascii="Tahoma" w:hAnsi="Tahoma" w:cs="Tahoma"/>
          <w:b/>
          <w:sz w:val="32"/>
          <w:szCs w:val="32"/>
          <w:u w:val="single"/>
        </w:rPr>
        <w:t>037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691D78" w:rsidRPr="00691D78" w:rsidRDefault="00691D7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91D7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91D78">
        <w:rPr>
          <w:rFonts w:ascii="Calibri" w:hAnsi="Calibri" w:cs="Calibri"/>
          <w:sz w:val="22"/>
          <w:szCs w:val="22"/>
        </w:rPr>
        <w:t>Institui e inclui no Calendário Oficial de Eventos do Município de Araraquara o Projeto Incendeia, a ser realizado anualmente na segunda semana do mês de junho,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Art. 1º Fica instituído e incluído no Calendário Oficial de Eventos do Município de Araraquara o Projeto Incendeia, a ser realizado anualmente na segunda semana do mês de junho.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Parágrafo único. O Projeto Incendeia tem por objetivo: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I – Promover encontros onde os jovens tenham um momento voltado para eles, com suas características como lazer, oração, formação e convivência;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II –Ser um lugar de evangelização da juventude em sua linguagem própria;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III – Fortalecer o Grupo de Oração;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IV – Promover o Protagonismo Ministerial Jovem; e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V- Incentivar o Jovem a ter mais compromisso com a Igreja.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Art. 2º Os recursos necessários para atender as despesas com execução desta lei serão obtidos mediante parceria com empresas da iniciativa privada ou governamental, sem acarretar ônus para o Município.</w:t>
      </w:r>
    </w:p>
    <w:p w:rsidR="00691D78" w:rsidRPr="00691D78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91D78" w:rsidP="00691D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91D78">
        <w:rPr>
          <w:rFonts w:ascii="Calibri" w:hAnsi="Calibri" w:cs="Calibri"/>
          <w:sz w:val="24"/>
          <w:szCs w:val="24"/>
        </w:rPr>
        <w:tab/>
      </w:r>
      <w:r w:rsidRPr="00691D78">
        <w:rPr>
          <w:rFonts w:ascii="Calibri" w:hAnsi="Calibri" w:cs="Calibri"/>
          <w:sz w:val="24"/>
          <w:szCs w:val="24"/>
        </w:rPr>
        <w:tab/>
        <w:t>Art. 3º Esta lei entra em vigor na data de sua publicação.</w:t>
      </w:r>
      <w:bookmarkStart w:id="0" w:name="_GoBack"/>
      <w:bookmarkEnd w:id="0"/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1D7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91D7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1D78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2017-04-04T19:04:00Z</dcterms:modified>
</cp:coreProperties>
</file>