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5626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56267">
        <w:rPr>
          <w:rFonts w:ascii="Tahoma" w:hAnsi="Tahoma" w:cs="Tahoma"/>
          <w:b/>
          <w:sz w:val="32"/>
          <w:szCs w:val="32"/>
          <w:u w:val="single"/>
        </w:rPr>
        <w:t>054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56267">
        <w:rPr>
          <w:rFonts w:ascii="Tahoma" w:hAnsi="Tahoma" w:cs="Tahoma"/>
          <w:b/>
          <w:sz w:val="32"/>
          <w:szCs w:val="32"/>
          <w:u w:val="single"/>
        </w:rPr>
        <w:t>029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56267" w:rsidRPr="00556267" w:rsidRDefault="0055626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5626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56267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Jornalista”, a ser realizado anualmente no dia 07 de abril.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56267" w:rsidRPr="00556267" w:rsidRDefault="00556267" w:rsidP="005562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56267">
        <w:rPr>
          <w:rFonts w:ascii="Calibri" w:hAnsi="Calibri" w:cs="Calibri"/>
          <w:sz w:val="24"/>
          <w:szCs w:val="24"/>
        </w:rPr>
        <w:t>Art. 1º Fica instituído e incluído no Calendário Oficial de Eventos do Município o “Dia Municipal do Jornalista”, a ser realizado anualmente no dia 07 de abril.</w:t>
      </w:r>
    </w:p>
    <w:p w:rsidR="00556267" w:rsidRPr="00556267" w:rsidRDefault="00556267" w:rsidP="005562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556267">
        <w:rPr>
          <w:rFonts w:ascii="Calibri" w:hAnsi="Calibri" w:cs="Calibri"/>
          <w:sz w:val="24"/>
          <w:szCs w:val="24"/>
        </w:rPr>
        <w:t xml:space="preserve"> </w:t>
      </w:r>
    </w:p>
    <w:p w:rsidR="00556267" w:rsidRPr="00556267" w:rsidRDefault="00556267" w:rsidP="005562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56267">
        <w:rPr>
          <w:rFonts w:ascii="Calibri" w:hAnsi="Calibri" w:cs="Calibri"/>
          <w:sz w:val="24"/>
          <w:szCs w:val="24"/>
        </w:rPr>
        <w:t>Art. 2º Incentivos junto às instituições públicas ou privadas, cobrirão eventuais despesas decorrentes desta lei.</w:t>
      </w:r>
    </w:p>
    <w:p w:rsidR="00556267" w:rsidRPr="00556267" w:rsidRDefault="00556267" w:rsidP="005562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56267" w:rsidP="005562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556267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62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62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5626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2017-03-28T14:04:00Z</dcterms:modified>
</cp:coreProperties>
</file>