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4" w:type="dxa"/>
        <w:tblInd w:w="250" w:type="dxa"/>
        <w:tblLook w:val="01E0" w:firstRow="1" w:lastRow="1" w:firstColumn="1" w:lastColumn="1" w:noHBand="0" w:noVBand="0"/>
      </w:tblPr>
      <w:tblGrid>
        <w:gridCol w:w="6520"/>
        <w:gridCol w:w="1866"/>
        <w:gridCol w:w="758"/>
      </w:tblGrid>
      <w:tr w:rsidR="00080161" w:rsidRPr="00DD4085" w:rsidTr="00DD4085">
        <w:tc>
          <w:tcPr>
            <w:tcW w:w="6520" w:type="dxa"/>
            <w:shd w:val="clear" w:color="auto" w:fill="auto"/>
          </w:tcPr>
          <w:p w:rsidR="00080161" w:rsidRPr="00DD4085" w:rsidRDefault="00080161" w:rsidP="00DD4085">
            <w:pPr>
              <w:autoSpaceDE w:val="0"/>
              <w:autoSpaceDN w:val="0"/>
              <w:ind w:left="-108" w:right="-110"/>
              <w:jc w:val="center"/>
              <w:rPr>
                <w:b/>
                <w:bCs/>
                <w:sz w:val="32"/>
                <w:szCs w:val="32"/>
              </w:rPr>
            </w:pPr>
            <w:r w:rsidRPr="00DD4085">
              <w:rPr>
                <w:b/>
                <w:bCs/>
                <w:sz w:val="32"/>
                <w:szCs w:val="32"/>
              </w:rPr>
              <w:t>Projeto de Lei Complementar n</w:t>
            </w:r>
            <w:r w:rsidRPr="00DD4085">
              <w:rPr>
                <w:rFonts w:ascii="Calibri" w:hAnsi="Calibri"/>
                <w:b/>
                <w:sz w:val="30"/>
              </w:rPr>
              <w:t>º</w:t>
            </w:r>
            <w:r w:rsidRPr="00DD4085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866" w:type="dxa"/>
            <w:shd w:val="clear" w:color="auto" w:fill="auto"/>
          </w:tcPr>
          <w:p w:rsidR="00080161" w:rsidRPr="00DD4085" w:rsidRDefault="00080161" w:rsidP="00DD4085">
            <w:pPr>
              <w:autoSpaceDE w:val="0"/>
              <w:autoSpaceDN w:val="0"/>
              <w:ind w:left="-108" w:right="-85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8" w:type="dxa"/>
            <w:shd w:val="clear" w:color="auto" w:fill="auto"/>
          </w:tcPr>
          <w:p w:rsidR="00080161" w:rsidRPr="00DD4085" w:rsidRDefault="001D3AC8" w:rsidP="00DD4085">
            <w:pPr>
              <w:autoSpaceDE w:val="0"/>
              <w:autoSpaceDN w:val="0"/>
              <w:ind w:left="-108" w:right="-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/17</w:t>
            </w:r>
          </w:p>
          <w:p w:rsidR="00080161" w:rsidRPr="00DD4085" w:rsidRDefault="00080161" w:rsidP="00DD4085">
            <w:pPr>
              <w:autoSpaceDE w:val="0"/>
              <w:autoSpaceDN w:val="0"/>
              <w:ind w:left="-108" w:right="-13"/>
              <w:jc w:val="center"/>
              <w:rPr>
                <w:b/>
                <w:bCs/>
                <w:sz w:val="32"/>
                <w:szCs w:val="32"/>
              </w:rPr>
            </w:pPr>
          </w:p>
          <w:p w:rsidR="00080161" w:rsidRPr="00DD4085" w:rsidRDefault="00080161" w:rsidP="00DD4085">
            <w:pPr>
              <w:autoSpaceDE w:val="0"/>
              <w:autoSpaceDN w:val="0"/>
              <w:ind w:left="-108" w:right="-13"/>
              <w:rPr>
                <w:b/>
                <w:bCs/>
                <w:sz w:val="32"/>
                <w:szCs w:val="32"/>
              </w:rPr>
            </w:pPr>
          </w:p>
        </w:tc>
      </w:tr>
    </w:tbl>
    <w:p w:rsidR="00E64E26" w:rsidRPr="00774451" w:rsidRDefault="00E64E26" w:rsidP="00E64E26">
      <w:pPr>
        <w:ind w:left="4536"/>
        <w:jc w:val="both"/>
        <w:rPr>
          <w:rFonts w:ascii="Calibri" w:hAnsi="Calibri" w:cs="Calibri"/>
          <w:sz w:val="24"/>
          <w:szCs w:val="24"/>
        </w:rPr>
      </w:pPr>
      <w:r w:rsidRPr="00774451">
        <w:rPr>
          <w:rFonts w:ascii="Calibri" w:hAnsi="Calibri" w:cs="Calibri"/>
          <w:sz w:val="24"/>
          <w:szCs w:val="24"/>
        </w:rPr>
        <w:t>Dispõe sobre o desdobro de terrenos com áreas que resultem em lotes com áreas não inferiores a 125 metros quadrados e testada não inferior a 5,00 metros quadrados e dá outras providências.</w:t>
      </w:r>
    </w:p>
    <w:p w:rsidR="00E64E26" w:rsidRPr="005C702F" w:rsidRDefault="00E64E26" w:rsidP="00E64E26">
      <w:pPr>
        <w:ind w:left="4536"/>
        <w:jc w:val="both"/>
        <w:rPr>
          <w:rFonts w:ascii="Calibri" w:hAnsi="Calibri" w:cs="Calibri"/>
          <w:sz w:val="22"/>
          <w:szCs w:val="22"/>
        </w:rPr>
      </w:pPr>
    </w:p>
    <w:p w:rsidR="005C702F" w:rsidRPr="005C702F" w:rsidRDefault="005C702F" w:rsidP="005C702F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5C702F" w:rsidRPr="0087363B" w:rsidRDefault="005C702F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7363B">
        <w:rPr>
          <w:rFonts w:ascii="Calibri" w:hAnsi="Calibri" w:cs="Calibri"/>
          <w:sz w:val="24"/>
          <w:szCs w:val="24"/>
        </w:rPr>
        <w:t xml:space="preserve">Art. 1º Esta </w:t>
      </w:r>
      <w:r w:rsidR="00524EA2">
        <w:rPr>
          <w:rFonts w:ascii="Calibri" w:hAnsi="Calibri" w:cs="Calibri"/>
          <w:sz w:val="24"/>
          <w:szCs w:val="24"/>
        </w:rPr>
        <w:t>L</w:t>
      </w:r>
      <w:r w:rsidRPr="0087363B">
        <w:rPr>
          <w:rFonts w:ascii="Calibri" w:hAnsi="Calibri" w:cs="Calibri"/>
          <w:sz w:val="24"/>
          <w:szCs w:val="24"/>
        </w:rPr>
        <w:t xml:space="preserve">ei </w:t>
      </w:r>
      <w:r w:rsidR="00524EA2">
        <w:rPr>
          <w:rFonts w:ascii="Calibri" w:hAnsi="Calibri" w:cs="Calibri"/>
          <w:sz w:val="24"/>
          <w:szCs w:val="24"/>
        </w:rPr>
        <w:t>C</w:t>
      </w:r>
      <w:r w:rsidRPr="0087363B">
        <w:rPr>
          <w:rFonts w:ascii="Calibri" w:hAnsi="Calibri" w:cs="Calibri"/>
          <w:sz w:val="24"/>
          <w:szCs w:val="24"/>
        </w:rPr>
        <w:t>omplementar regula tão somente o desdobro de terrenos com áreas que resultem em lotes com áreas não inferiores a 125 metros quadrados e testada não inferior a 5,00 metros.</w:t>
      </w:r>
    </w:p>
    <w:p w:rsidR="005C702F" w:rsidRPr="0087363B" w:rsidRDefault="005C702F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C702F" w:rsidRPr="0087363B" w:rsidRDefault="005C702F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7363B">
        <w:rPr>
          <w:rFonts w:ascii="Calibri" w:hAnsi="Calibri" w:cs="Calibri"/>
          <w:sz w:val="24"/>
          <w:szCs w:val="24"/>
        </w:rPr>
        <w:t>Art. 2º</w:t>
      </w:r>
      <w:r w:rsidRPr="0087363B">
        <w:rPr>
          <w:rFonts w:ascii="Calibri" w:hAnsi="Calibri" w:cs="Calibri"/>
          <w:b/>
          <w:sz w:val="24"/>
          <w:szCs w:val="24"/>
        </w:rPr>
        <w:t xml:space="preserve"> </w:t>
      </w:r>
      <w:r w:rsidRPr="0087363B">
        <w:rPr>
          <w:rFonts w:ascii="Calibri" w:hAnsi="Calibri" w:cs="Calibri"/>
          <w:sz w:val="24"/>
          <w:szCs w:val="24"/>
        </w:rPr>
        <w:t>O desdobro somente será permitido para resultar em 2 (dois) lotes.</w:t>
      </w:r>
    </w:p>
    <w:p w:rsidR="005C702F" w:rsidRPr="0087363B" w:rsidRDefault="005C702F" w:rsidP="005C702F">
      <w:pPr>
        <w:ind w:firstLine="2835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87363B">
        <w:rPr>
          <w:rFonts w:ascii="Calibri" w:hAnsi="Calibri" w:cs="Calibri"/>
          <w:sz w:val="24"/>
          <w:szCs w:val="24"/>
        </w:rPr>
        <w:tab/>
      </w:r>
    </w:p>
    <w:p w:rsidR="005C702F" w:rsidRPr="0087363B" w:rsidRDefault="005C702F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7363B">
        <w:rPr>
          <w:rFonts w:ascii="Calibri" w:hAnsi="Calibri" w:cs="Calibri"/>
          <w:sz w:val="24"/>
          <w:szCs w:val="24"/>
        </w:rPr>
        <w:t xml:space="preserve">Art. 3º Somente poderá beneficiar-se desta Lei Complementar quem seja proprietário de até 03 (três) imóveis, comprovados </w:t>
      </w:r>
      <w:r w:rsidR="00DC2C72">
        <w:rPr>
          <w:rFonts w:ascii="Calibri" w:hAnsi="Calibri" w:cs="Calibri"/>
          <w:sz w:val="24"/>
          <w:szCs w:val="24"/>
        </w:rPr>
        <w:t xml:space="preserve">através de </w:t>
      </w:r>
      <w:r w:rsidRPr="0087363B">
        <w:rPr>
          <w:rFonts w:ascii="Calibri" w:hAnsi="Calibri" w:cs="Calibri"/>
          <w:sz w:val="24"/>
          <w:szCs w:val="24"/>
        </w:rPr>
        <w:t>certidão</w:t>
      </w:r>
      <w:r w:rsidR="00DC2C72">
        <w:rPr>
          <w:rFonts w:ascii="Calibri" w:hAnsi="Calibri" w:cs="Calibri"/>
          <w:sz w:val="24"/>
          <w:szCs w:val="24"/>
        </w:rPr>
        <w:t xml:space="preserve"> do registro imobiliário </w:t>
      </w:r>
      <w:r w:rsidRPr="0087363B">
        <w:rPr>
          <w:rFonts w:ascii="Calibri" w:hAnsi="Calibri" w:cs="Calibri"/>
          <w:sz w:val="24"/>
          <w:szCs w:val="24"/>
        </w:rPr>
        <w:t>da relação das propriedades do requerente.</w:t>
      </w:r>
    </w:p>
    <w:p w:rsidR="00E64E26" w:rsidRDefault="00E64E26" w:rsidP="00E64E26">
      <w:pPr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:rsidR="005C702F" w:rsidRPr="00774451" w:rsidRDefault="005C702F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774451">
        <w:rPr>
          <w:rFonts w:ascii="Calibri" w:hAnsi="Calibri" w:cs="Calibri"/>
          <w:sz w:val="24"/>
          <w:szCs w:val="24"/>
        </w:rPr>
        <w:t xml:space="preserve">Parágrafo único. Não se aplica esta </w:t>
      </w:r>
      <w:r w:rsidR="00524EA2" w:rsidRPr="00774451">
        <w:rPr>
          <w:rFonts w:ascii="Calibri" w:hAnsi="Calibri" w:cs="Calibri"/>
          <w:sz w:val="24"/>
          <w:szCs w:val="24"/>
        </w:rPr>
        <w:t>L</w:t>
      </w:r>
      <w:r w:rsidRPr="00774451">
        <w:rPr>
          <w:rFonts w:ascii="Calibri" w:hAnsi="Calibri" w:cs="Calibri"/>
          <w:sz w:val="24"/>
          <w:szCs w:val="24"/>
        </w:rPr>
        <w:t xml:space="preserve">ei </w:t>
      </w:r>
      <w:r w:rsidR="00524EA2" w:rsidRPr="00774451">
        <w:rPr>
          <w:rFonts w:ascii="Calibri" w:hAnsi="Calibri" w:cs="Calibri"/>
          <w:sz w:val="24"/>
          <w:szCs w:val="24"/>
        </w:rPr>
        <w:t>C</w:t>
      </w:r>
      <w:r w:rsidRPr="00774451">
        <w:rPr>
          <w:rFonts w:ascii="Calibri" w:hAnsi="Calibri" w:cs="Calibri"/>
          <w:sz w:val="24"/>
          <w:szCs w:val="24"/>
        </w:rPr>
        <w:t xml:space="preserve">omplementar </w:t>
      </w:r>
      <w:r w:rsidR="00524EA2" w:rsidRPr="00774451">
        <w:rPr>
          <w:rFonts w:ascii="Calibri" w:hAnsi="Calibri" w:cs="Calibri"/>
          <w:sz w:val="24"/>
          <w:szCs w:val="24"/>
        </w:rPr>
        <w:t xml:space="preserve">aos imóveis cujas matrículas, direta ou indiretamente, tenham sido </w:t>
      </w:r>
      <w:r w:rsidRPr="00774451">
        <w:rPr>
          <w:rFonts w:ascii="Calibri" w:hAnsi="Calibri" w:cs="Calibri"/>
          <w:sz w:val="24"/>
          <w:szCs w:val="24"/>
        </w:rPr>
        <w:t>anteriormente beneficiadas por diploma</w:t>
      </w:r>
      <w:r w:rsidR="00524EA2" w:rsidRPr="00774451">
        <w:rPr>
          <w:rFonts w:ascii="Calibri" w:hAnsi="Calibri" w:cs="Calibri"/>
          <w:sz w:val="24"/>
          <w:szCs w:val="24"/>
        </w:rPr>
        <w:t>s</w:t>
      </w:r>
      <w:r w:rsidRPr="00774451">
        <w:rPr>
          <w:rFonts w:ascii="Calibri" w:hAnsi="Calibri" w:cs="Calibri"/>
          <w:sz w:val="24"/>
          <w:szCs w:val="24"/>
        </w:rPr>
        <w:t xml:space="preserve"> lega</w:t>
      </w:r>
      <w:r w:rsidR="00524EA2" w:rsidRPr="00774451">
        <w:rPr>
          <w:rFonts w:ascii="Calibri" w:hAnsi="Calibri" w:cs="Calibri"/>
          <w:sz w:val="24"/>
          <w:szCs w:val="24"/>
        </w:rPr>
        <w:t>is desta natureza</w:t>
      </w:r>
      <w:r w:rsidRPr="00774451">
        <w:rPr>
          <w:rFonts w:ascii="Calibri" w:hAnsi="Calibri" w:cs="Calibri"/>
          <w:sz w:val="24"/>
          <w:szCs w:val="24"/>
        </w:rPr>
        <w:t>.</w:t>
      </w:r>
    </w:p>
    <w:p w:rsidR="005C702F" w:rsidRPr="0087363B" w:rsidRDefault="005C702F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C702F" w:rsidRPr="00774451" w:rsidRDefault="005C702F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774451">
        <w:rPr>
          <w:rFonts w:ascii="Calibri" w:hAnsi="Calibri" w:cs="Calibri"/>
          <w:sz w:val="24"/>
          <w:szCs w:val="24"/>
        </w:rPr>
        <w:t>Art. 4º Os benefícios desta Lei Complementar poderão ser solicitados uma única vez e para apenas um</w:t>
      </w:r>
      <w:r w:rsidR="00524EA2" w:rsidRPr="00774451">
        <w:rPr>
          <w:rFonts w:ascii="Calibri" w:hAnsi="Calibri" w:cs="Calibri"/>
          <w:sz w:val="24"/>
          <w:szCs w:val="24"/>
        </w:rPr>
        <w:t xml:space="preserve"> imóvel de </w:t>
      </w:r>
      <w:r w:rsidRPr="00774451">
        <w:rPr>
          <w:rFonts w:ascii="Calibri" w:hAnsi="Calibri" w:cs="Calibri"/>
          <w:sz w:val="24"/>
          <w:szCs w:val="24"/>
        </w:rPr>
        <w:t>propriedade</w:t>
      </w:r>
      <w:r w:rsidR="00524EA2" w:rsidRPr="00774451">
        <w:rPr>
          <w:rFonts w:ascii="Calibri" w:hAnsi="Calibri" w:cs="Calibri"/>
          <w:sz w:val="24"/>
          <w:szCs w:val="24"/>
        </w:rPr>
        <w:t xml:space="preserve"> do interessado.</w:t>
      </w:r>
    </w:p>
    <w:p w:rsidR="005C702F" w:rsidRPr="0087363B" w:rsidRDefault="005C702F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7363B">
        <w:rPr>
          <w:rFonts w:ascii="Calibri" w:hAnsi="Calibri" w:cs="Calibri"/>
          <w:sz w:val="24"/>
          <w:szCs w:val="24"/>
        </w:rPr>
        <w:tab/>
      </w:r>
      <w:r w:rsidRPr="0087363B">
        <w:rPr>
          <w:rFonts w:ascii="Calibri" w:hAnsi="Calibri" w:cs="Calibri"/>
          <w:sz w:val="24"/>
          <w:szCs w:val="24"/>
        </w:rPr>
        <w:tab/>
      </w:r>
    </w:p>
    <w:p w:rsidR="005C702F" w:rsidRPr="0087363B" w:rsidRDefault="005C702F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7363B">
        <w:rPr>
          <w:rFonts w:ascii="Calibri" w:hAnsi="Calibri" w:cs="Calibri"/>
          <w:sz w:val="24"/>
          <w:szCs w:val="24"/>
        </w:rPr>
        <w:t>Art. 5º</w:t>
      </w:r>
      <w:r w:rsidRPr="0087363B">
        <w:rPr>
          <w:rFonts w:ascii="Calibri" w:hAnsi="Calibri" w:cs="Calibri"/>
          <w:b/>
          <w:sz w:val="24"/>
          <w:szCs w:val="24"/>
        </w:rPr>
        <w:t xml:space="preserve"> </w:t>
      </w:r>
      <w:r w:rsidRPr="0087363B">
        <w:rPr>
          <w:rFonts w:ascii="Calibri" w:hAnsi="Calibri" w:cs="Calibri"/>
          <w:sz w:val="24"/>
          <w:szCs w:val="24"/>
        </w:rPr>
        <w:t>A solicitação de desdobro deverá ser protocolada na Prefeitura e instruída com os seguintes documentos:</w:t>
      </w:r>
      <w:r w:rsidRPr="0087363B">
        <w:rPr>
          <w:rFonts w:ascii="Calibri" w:hAnsi="Calibri" w:cs="Calibri"/>
          <w:sz w:val="24"/>
          <w:szCs w:val="24"/>
        </w:rPr>
        <w:tab/>
      </w:r>
    </w:p>
    <w:p w:rsidR="005C702F" w:rsidRPr="0087363B" w:rsidRDefault="005C702F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7363B">
        <w:rPr>
          <w:rFonts w:ascii="Calibri" w:hAnsi="Calibri" w:cs="Calibri"/>
          <w:sz w:val="24"/>
          <w:szCs w:val="24"/>
        </w:rPr>
        <w:tab/>
      </w:r>
    </w:p>
    <w:p w:rsidR="005C702F" w:rsidRPr="0087363B" w:rsidRDefault="005C702F" w:rsidP="005C702F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7363B">
        <w:rPr>
          <w:rFonts w:ascii="Calibri" w:hAnsi="Calibri" w:cs="Calibri"/>
          <w:sz w:val="24"/>
          <w:szCs w:val="24"/>
        </w:rPr>
        <w:t>Certidão de propriedade atualizada do imóvel em nome do requerente e documentos emitidos por órgãos públicos ou empresas prestadoras de serviços públicos, que comprovem a posse do imóvel há mais de 02 (dois) anos contados da publicação da presente lei complementar;</w:t>
      </w:r>
    </w:p>
    <w:p w:rsidR="005C702F" w:rsidRPr="0087363B" w:rsidRDefault="005C702F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C702F" w:rsidRPr="0087363B" w:rsidRDefault="005C702F" w:rsidP="005C702F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7363B">
        <w:rPr>
          <w:rFonts w:ascii="Calibri" w:hAnsi="Calibri" w:cs="Calibri"/>
          <w:sz w:val="24"/>
          <w:szCs w:val="24"/>
        </w:rPr>
        <w:t>A certidão de propriedade do imóvel não poderá ter data de emissão inferior a 30 (trinta) dias;</w:t>
      </w:r>
    </w:p>
    <w:p w:rsidR="005C702F" w:rsidRPr="0087363B" w:rsidRDefault="005C702F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C702F" w:rsidRPr="0087363B" w:rsidRDefault="005C702F" w:rsidP="005C702F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7363B">
        <w:rPr>
          <w:rFonts w:ascii="Calibri" w:hAnsi="Calibri" w:cs="Calibri"/>
          <w:sz w:val="24"/>
          <w:szCs w:val="24"/>
        </w:rPr>
        <w:t>Certidão Negativa de Débitos Municipais do imóvel a ser desdobrado;</w:t>
      </w:r>
    </w:p>
    <w:p w:rsidR="005C702F" w:rsidRPr="0087363B" w:rsidRDefault="005C702F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C702F" w:rsidRPr="0087363B" w:rsidRDefault="005C702F" w:rsidP="005C702F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7363B">
        <w:rPr>
          <w:rFonts w:ascii="Calibri" w:hAnsi="Calibri" w:cs="Calibri"/>
          <w:sz w:val="24"/>
          <w:szCs w:val="24"/>
        </w:rPr>
        <w:t xml:space="preserve">No caso de propriedade </w:t>
      </w:r>
      <w:r w:rsidR="008C2ECA">
        <w:rPr>
          <w:rFonts w:ascii="Calibri" w:hAnsi="Calibri" w:cs="Calibri"/>
          <w:sz w:val="24"/>
          <w:szCs w:val="24"/>
        </w:rPr>
        <w:t>não quitada, o requerente deverá</w:t>
      </w:r>
      <w:r w:rsidRPr="0087363B">
        <w:rPr>
          <w:rFonts w:ascii="Calibri" w:hAnsi="Calibri" w:cs="Calibri"/>
          <w:sz w:val="24"/>
          <w:szCs w:val="24"/>
        </w:rPr>
        <w:t xml:space="preserve"> apresenta</w:t>
      </w:r>
      <w:r w:rsidR="008C2ECA">
        <w:rPr>
          <w:rFonts w:ascii="Calibri" w:hAnsi="Calibri" w:cs="Calibri"/>
          <w:sz w:val="24"/>
          <w:szCs w:val="24"/>
        </w:rPr>
        <w:t>r</w:t>
      </w:r>
      <w:r w:rsidRPr="0087363B">
        <w:rPr>
          <w:rFonts w:ascii="Calibri" w:hAnsi="Calibri" w:cs="Calibri"/>
          <w:sz w:val="24"/>
          <w:szCs w:val="24"/>
        </w:rPr>
        <w:t xml:space="preserve"> contrato de compra e venda do imóvel;</w:t>
      </w:r>
    </w:p>
    <w:p w:rsidR="005C702F" w:rsidRPr="0087363B" w:rsidRDefault="005C702F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C702F" w:rsidRPr="0087363B" w:rsidRDefault="005C702F" w:rsidP="005C702F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7363B">
        <w:rPr>
          <w:rFonts w:ascii="Calibri" w:hAnsi="Calibri" w:cs="Calibri"/>
          <w:sz w:val="24"/>
          <w:szCs w:val="24"/>
        </w:rPr>
        <w:lastRenderedPageBreak/>
        <w:t>O projeto de desdobro dever</w:t>
      </w:r>
      <w:r w:rsidR="00080161">
        <w:rPr>
          <w:rFonts w:ascii="Calibri" w:hAnsi="Calibri" w:cs="Calibri"/>
          <w:sz w:val="24"/>
          <w:szCs w:val="24"/>
        </w:rPr>
        <w:t xml:space="preserve">á </w:t>
      </w:r>
      <w:r w:rsidRPr="0087363B">
        <w:rPr>
          <w:rFonts w:ascii="Calibri" w:hAnsi="Calibri" w:cs="Calibri"/>
          <w:sz w:val="24"/>
          <w:szCs w:val="24"/>
        </w:rPr>
        <w:t>ser apresentado na forma padrão que o Município exige;</w:t>
      </w:r>
    </w:p>
    <w:p w:rsidR="005C702F" w:rsidRPr="0087363B" w:rsidRDefault="005C702F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C702F" w:rsidRPr="0087363B" w:rsidRDefault="005C702F" w:rsidP="005C702F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7363B">
        <w:rPr>
          <w:rFonts w:ascii="Calibri" w:hAnsi="Calibri" w:cs="Calibri"/>
          <w:sz w:val="24"/>
          <w:szCs w:val="24"/>
        </w:rPr>
        <w:t>Esta Lei não se aplica aos loteamentos denominados Chácaras de Recreio;</w:t>
      </w:r>
    </w:p>
    <w:p w:rsidR="005C702F" w:rsidRPr="0087363B" w:rsidRDefault="005C702F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C702F" w:rsidRPr="0087363B" w:rsidRDefault="005C702F" w:rsidP="005C702F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7363B">
        <w:rPr>
          <w:rFonts w:ascii="Calibri" w:hAnsi="Calibri" w:cs="Calibri"/>
          <w:sz w:val="24"/>
          <w:szCs w:val="24"/>
        </w:rPr>
        <w:t>Não poderá ser aplicado em loteamentos cuja matricula dos lotes houver restrições quanto ao desdobro;</w:t>
      </w:r>
    </w:p>
    <w:p w:rsidR="005C702F" w:rsidRPr="0087363B" w:rsidRDefault="005C702F" w:rsidP="00DC5C88">
      <w:pPr>
        <w:ind w:firstLine="2835"/>
        <w:rPr>
          <w:rFonts w:ascii="Calibri" w:hAnsi="Calibri" w:cs="Calibri"/>
          <w:sz w:val="24"/>
          <w:szCs w:val="24"/>
        </w:rPr>
      </w:pPr>
    </w:p>
    <w:p w:rsidR="005C702F" w:rsidRDefault="003632B6" w:rsidP="005C702F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774451">
        <w:rPr>
          <w:rFonts w:ascii="Calibri" w:hAnsi="Calibri" w:cs="Calibri"/>
          <w:sz w:val="24"/>
          <w:szCs w:val="24"/>
        </w:rPr>
        <w:t>Não poderá ser aplicado em loteamentos localizados nos Zoneamentos ZOPRE (Zona Predominantemente Residencial) AEIU (Áreas de Especial Interesse Urbanístico).</w:t>
      </w:r>
    </w:p>
    <w:p w:rsidR="00E64E26" w:rsidRDefault="00E64E26" w:rsidP="00E64E26">
      <w:pPr>
        <w:pStyle w:val="PargrafodaLista"/>
        <w:rPr>
          <w:rFonts w:ascii="Calibri" w:hAnsi="Calibri" w:cs="Calibri"/>
          <w:sz w:val="24"/>
          <w:szCs w:val="24"/>
        </w:rPr>
      </w:pPr>
    </w:p>
    <w:p w:rsidR="008775C3" w:rsidRDefault="00070C91" w:rsidP="005C702F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774451">
        <w:rPr>
          <w:rFonts w:ascii="Calibri" w:hAnsi="Calibri" w:cs="Calibri"/>
          <w:sz w:val="24"/>
          <w:szCs w:val="24"/>
        </w:rPr>
        <w:t xml:space="preserve"> Somente poderá ser aprovado em ZEPP (Zonas Especiais de Estruturação Predominantemente Produtivas) – ZEPIS (Zona Estrutural de Produção Sustentável), casos em que os lotes tenham destinação residencial, sendo vedado para lotes com destinação comercial e industrial.</w:t>
      </w:r>
    </w:p>
    <w:p w:rsidR="008775C3" w:rsidRDefault="008775C3" w:rsidP="008775C3">
      <w:pPr>
        <w:pStyle w:val="PargrafodaLista"/>
        <w:rPr>
          <w:rFonts w:ascii="Calibri" w:hAnsi="Calibri" w:cs="Calibri"/>
          <w:sz w:val="24"/>
          <w:szCs w:val="24"/>
        </w:rPr>
      </w:pPr>
    </w:p>
    <w:p w:rsidR="00E64E26" w:rsidRPr="00774451" w:rsidRDefault="00E64E26" w:rsidP="00C67BD2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774451">
        <w:rPr>
          <w:rFonts w:ascii="Calibri" w:hAnsi="Calibri" w:cs="Calibri"/>
          <w:sz w:val="24"/>
          <w:szCs w:val="24"/>
        </w:rPr>
        <w:t>Poderá ser aprovado o desdobro de lotes com edificação já concluída em áreas inferiores a 125 metros quadrados, obedecendo aos recuos de ventilação e iluminação mínimos citados no Código de Obras do Município, bem como à testada mínima de 5 metros e devida apreciação pela Comissão de Obras, Segurança, Serviços e Bens Públicos.</w:t>
      </w:r>
    </w:p>
    <w:p w:rsidR="005C702F" w:rsidRPr="0087363B" w:rsidRDefault="005C702F" w:rsidP="005C702F">
      <w:pPr>
        <w:ind w:firstLine="2835"/>
        <w:jc w:val="both"/>
        <w:rPr>
          <w:rFonts w:ascii="Calibri" w:hAnsi="Calibri" w:cs="Calibri"/>
          <w:b/>
          <w:sz w:val="24"/>
          <w:szCs w:val="24"/>
        </w:rPr>
      </w:pPr>
    </w:p>
    <w:p w:rsidR="00E64E26" w:rsidRPr="00774451" w:rsidRDefault="00E64E26" w:rsidP="00E64E26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774451">
        <w:rPr>
          <w:rFonts w:ascii="Calibri" w:hAnsi="Calibri" w:cs="Calibri"/>
          <w:sz w:val="24"/>
          <w:szCs w:val="24"/>
        </w:rPr>
        <w:t>Art. 6º O processo em “comunique-se” deverá ser regularizado pelo requerente em até 90 (noventa) dias após o término da vigência desta lei, sob pena de arquivamento do processo e extinção do direito, salvo se:</w:t>
      </w:r>
    </w:p>
    <w:p w:rsidR="005C702F" w:rsidRPr="0087363B" w:rsidRDefault="005C702F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C702F" w:rsidRPr="0087363B" w:rsidRDefault="005C702F" w:rsidP="005C702F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87363B">
        <w:rPr>
          <w:rFonts w:ascii="Calibri" w:hAnsi="Calibri" w:cs="Calibri"/>
          <w:sz w:val="24"/>
          <w:szCs w:val="24"/>
        </w:rPr>
        <w:t>Casos em que haja necessidade de regularização das medidas do terreno (retificação judicial);</w:t>
      </w:r>
    </w:p>
    <w:p w:rsidR="005C702F" w:rsidRPr="0087363B" w:rsidRDefault="005C702F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C702F" w:rsidRPr="0087363B" w:rsidRDefault="005C702F" w:rsidP="005C702F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87363B">
        <w:rPr>
          <w:rFonts w:ascii="Calibri" w:hAnsi="Calibri" w:cs="Calibri"/>
          <w:sz w:val="24"/>
          <w:szCs w:val="24"/>
        </w:rPr>
        <w:t>Casos em que haja o pedido de parcelamentos de débitos municipais, podendo ser aprovado após a quitação deste.</w:t>
      </w:r>
    </w:p>
    <w:p w:rsidR="005C702F" w:rsidRPr="0087363B" w:rsidRDefault="005C702F" w:rsidP="005C702F">
      <w:pPr>
        <w:ind w:firstLine="2835"/>
        <w:jc w:val="both"/>
        <w:rPr>
          <w:rFonts w:ascii="Calibri" w:hAnsi="Calibri" w:cs="Calibri"/>
          <w:b/>
          <w:sz w:val="24"/>
          <w:szCs w:val="24"/>
        </w:rPr>
      </w:pPr>
    </w:p>
    <w:p w:rsidR="005C702F" w:rsidRDefault="005C702F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7363B">
        <w:rPr>
          <w:rFonts w:ascii="Calibri" w:hAnsi="Calibri" w:cs="Calibri"/>
          <w:sz w:val="24"/>
          <w:szCs w:val="24"/>
        </w:rPr>
        <w:t>Art. 7º</w:t>
      </w:r>
      <w:r w:rsidRPr="0087363B">
        <w:rPr>
          <w:rFonts w:ascii="Calibri" w:hAnsi="Calibri" w:cs="Calibri"/>
          <w:b/>
          <w:sz w:val="24"/>
          <w:szCs w:val="24"/>
        </w:rPr>
        <w:t xml:space="preserve"> </w:t>
      </w:r>
      <w:r w:rsidRPr="0087363B">
        <w:rPr>
          <w:rFonts w:ascii="Calibri" w:hAnsi="Calibri" w:cs="Calibri"/>
          <w:sz w:val="24"/>
          <w:szCs w:val="24"/>
        </w:rPr>
        <w:t xml:space="preserve">Também será obrigatório para a aprovação do projeto solicitado o pedido de regularização das construções, caso existam, </w:t>
      </w:r>
      <w:r w:rsidR="00180105" w:rsidRPr="0087363B">
        <w:rPr>
          <w:rFonts w:ascii="Calibri" w:hAnsi="Calibri" w:cs="Calibri"/>
          <w:sz w:val="24"/>
          <w:szCs w:val="24"/>
        </w:rPr>
        <w:t>junto aos órgãos competentes</w:t>
      </w:r>
      <w:r w:rsidRPr="0087363B">
        <w:rPr>
          <w:rFonts w:ascii="Calibri" w:hAnsi="Calibri" w:cs="Calibri"/>
          <w:sz w:val="24"/>
          <w:szCs w:val="24"/>
        </w:rPr>
        <w:t>.</w:t>
      </w:r>
    </w:p>
    <w:p w:rsidR="002D290A" w:rsidRPr="0087363B" w:rsidRDefault="00E64E26" w:rsidP="002D290A">
      <w:pPr>
        <w:ind w:firstLine="2835"/>
        <w:jc w:val="both"/>
        <w:rPr>
          <w:rFonts w:ascii="Calibri" w:hAnsi="Calibri" w:cs="Calibri"/>
          <w:b/>
          <w:sz w:val="24"/>
          <w:szCs w:val="24"/>
        </w:rPr>
      </w:pPr>
      <w:r w:rsidRPr="0087363B">
        <w:rPr>
          <w:rFonts w:ascii="Calibri" w:hAnsi="Calibri" w:cs="Calibri"/>
          <w:sz w:val="24"/>
          <w:szCs w:val="24"/>
        </w:rPr>
        <w:t xml:space="preserve">Art. </w:t>
      </w:r>
      <w:r w:rsidR="003F65A4">
        <w:rPr>
          <w:rFonts w:ascii="Calibri" w:hAnsi="Calibri" w:cs="Calibri"/>
          <w:sz w:val="24"/>
          <w:szCs w:val="24"/>
        </w:rPr>
        <w:t>8</w:t>
      </w:r>
      <w:r w:rsidRPr="0087363B">
        <w:rPr>
          <w:rFonts w:ascii="Calibri" w:hAnsi="Calibri" w:cs="Calibri"/>
          <w:sz w:val="24"/>
          <w:szCs w:val="24"/>
        </w:rPr>
        <w:t>º</w:t>
      </w:r>
      <w:r>
        <w:rPr>
          <w:rFonts w:ascii="Calibri" w:hAnsi="Calibri" w:cs="Calibri"/>
          <w:sz w:val="24"/>
          <w:szCs w:val="24"/>
        </w:rPr>
        <w:t xml:space="preserve"> </w:t>
      </w:r>
      <w:r w:rsidR="002D290A">
        <w:rPr>
          <w:rFonts w:ascii="Calibri" w:hAnsi="Calibri" w:cs="Calibri"/>
          <w:sz w:val="24"/>
          <w:szCs w:val="24"/>
        </w:rPr>
        <w:t>A aprovação do desdobro solicitado está condicionada à apresentação de documento comprovatório de pedido de regularização das construções eventualmente existentes, devidamente expedido pelos órgãos competentes.</w:t>
      </w:r>
    </w:p>
    <w:p w:rsidR="00E64E26" w:rsidRPr="0087363B" w:rsidRDefault="00E64E26" w:rsidP="00E64E26">
      <w:pPr>
        <w:ind w:firstLine="2835"/>
        <w:jc w:val="both"/>
        <w:rPr>
          <w:rFonts w:ascii="Calibri" w:hAnsi="Calibri" w:cs="Calibri"/>
          <w:b/>
          <w:sz w:val="24"/>
          <w:szCs w:val="24"/>
        </w:rPr>
      </w:pPr>
    </w:p>
    <w:p w:rsidR="00080161" w:rsidRDefault="005C702F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7363B">
        <w:rPr>
          <w:rFonts w:ascii="Calibri" w:hAnsi="Calibri" w:cs="Calibri"/>
          <w:sz w:val="24"/>
          <w:szCs w:val="24"/>
        </w:rPr>
        <w:t xml:space="preserve">Art. </w:t>
      </w:r>
      <w:r w:rsidR="003F65A4">
        <w:rPr>
          <w:rFonts w:ascii="Calibri" w:hAnsi="Calibri" w:cs="Calibri"/>
          <w:sz w:val="24"/>
          <w:szCs w:val="24"/>
        </w:rPr>
        <w:t>9</w:t>
      </w:r>
      <w:r w:rsidRPr="0087363B">
        <w:rPr>
          <w:rFonts w:ascii="Calibri" w:hAnsi="Calibri" w:cs="Calibri"/>
          <w:sz w:val="24"/>
          <w:szCs w:val="24"/>
        </w:rPr>
        <w:t>º</w:t>
      </w:r>
      <w:r w:rsidRPr="0087363B">
        <w:rPr>
          <w:rFonts w:ascii="Calibri" w:hAnsi="Calibri" w:cs="Calibri"/>
          <w:b/>
          <w:sz w:val="24"/>
          <w:szCs w:val="24"/>
        </w:rPr>
        <w:t xml:space="preserve"> </w:t>
      </w:r>
      <w:r w:rsidRPr="0087363B">
        <w:rPr>
          <w:rFonts w:ascii="Calibri" w:hAnsi="Calibri" w:cs="Calibri"/>
          <w:sz w:val="24"/>
          <w:szCs w:val="24"/>
        </w:rPr>
        <w:t xml:space="preserve">Esta lei complementar entra em vigor na data de sua publicação, produzindo efeitos </w:t>
      </w:r>
      <w:r w:rsidR="00180105">
        <w:rPr>
          <w:rFonts w:ascii="Calibri" w:hAnsi="Calibri" w:cs="Calibri"/>
          <w:sz w:val="24"/>
          <w:szCs w:val="24"/>
        </w:rPr>
        <w:t xml:space="preserve">até </w:t>
      </w:r>
      <w:r w:rsidR="001D3AC8">
        <w:rPr>
          <w:rFonts w:ascii="Calibri" w:hAnsi="Calibri" w:cs="Calibri"/>
          <w:sz w:val="24"/>
          <w:szCs w:val="24"/>
        </w:rPr>
        <w:t>02</w:t>
      </w:r>
      <w:r w:rsidR="00180105">
        <w:rPr>
          <w:rFonts w:ascii="Calibri" w:hAnsi="Calibri" w:cs="Calibri"/>
          <w:sz w:val="24"/>
          <w:szCs w:val="24"/>
        </w:rPr>
        <w:t xml:space="preserve"> de </w:t>
      </w:r>
      <w:r w:rsidR="001D3AC8">
        <w:rPr>
          <w:rFonts w:ascii="Calibri" w:hAnsi="Calibri" w:cs="Calibri"/>
          <w:sz w:val="24"/>
          <w:szCs w:val="24"/>
        </w:rPr>
        <w:t>março</w:t>
      </w:r>
      <w:r w:rsidR="00180105">
        <w:rPr>
          <w:rFonts w:ascii="Calibri" w:hAnsi="Calibri" w:cs="Calibri"/>
          <w:sz w:val="24"/>
          <w:szCs w:val="24"/>
        </w:rPr>
        <w:t xml:space="preserve"> de </w:t>
      </w:r>
      <w:r w:rsidR="001D3AC8">
        <w:rPr>
          <w:rFonts w:ascii="Calibri" w:hAnsi="Calibri" w:cs="Calibri"/>
          <w:sz w:val="24"/>
          <w:szCs w:val="24"/>
        </w:rPr>
        <w:t>2018.</w:t>
      </w:r>
    </w:p>
    <w:p w:rsidR="00080161" w:rsidRDefault="00080161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C702F" w:rsidRDefault="00080161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</w:t>
      </w:r>
      <w:r w:rsidR="003F65A4"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 xml:space="preserve"> Fica revogada a </w:t>
      </w:r>
      <w:r w:rsidRPr="00080161">
        <w:rPr>
          <w:rFonts w:ascii="Calibri" w:hAnsi="Calibri" w:cs="Calibri"/>
          <w:sz w:val="24"/>
          <w:szCs w:val="24"/>
        </w:rPr>
        <w:t xml:space="preserve">Lei Complementar </w:t>
      </w:r>
      <w:r>
        <w:rPr>
          <w:rFonts w:ascii="Calibri" w:hAnsi="Calibri" w:cs="Calibri"/>
          <w:sz w:val="24"/>
          <w:szCs w:val="24"/>
        </w:rPr>
        <w:t>n</w:t>
      </w:r>
      <w:r w:rsidR="00A077D3">
        <w:rPr>
          <w:rFonts w:ascii="Calibri" w:hAnsi="Calibri" w:cs="Calibri"/>
          <w:sz w:val="24"/>
          <w:szCs w:val="24"/>
        </w:rPr>
        <w:t>º 872, de 08</w:t>
      </w:r>
      <w:r w:rsidRPr="00080161">
        <w:rPr>
          <w:rFonts w:ascii="Calibri" w:hAnsi="Calibri" w:cs="Calibri"/>
          <w:sz w:val="24"/>
          <w:szCs w:val="24"/>
        </w:rPr>
        <w:t xml:space="preserve"> de </w:t>
      </w:r>
      <w:r w:rsidR="00A077D3">
        <w:rPr>
          <w:rFonts w:ascii="Calibri" w:hAnsi="Calibri" w:cs="Calibri"/>
          <w:sz w:val="24"/>
          <w:szCs w:val="24"/>
        </w:rPr>
        <w:t>julho de 2016</w:t>
      </w:r>
      <w:r w:rsidR="002D290A">
        <w:rPr>
          <w:rFonts w:ascii="Calibri" w:hAnsi="Calibri" w:cs="Calibri"/>
          <w:sz w:val="24"/>
          <w:szCs w:val="24"/>
        </w:rPr>
        <w:t>, mantidos os seus efeitos até a data de publicação desta Lei Complementar.</w:t>
      </w:r>
    </w:p>
    <w:p w:rsidR="00DE48F7" w:rsidRDefault="00DE48F7" w:rsidP="005C702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E48F7" w:rsidRPr="00DE48F7" w:rsidRDefault="00DE48F7" w:rsidP="00DE48F7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E48F7" w:rsidRPr="00DE48F7" w:rsidRDefault="00DE48F7" w:rsidP="00DE48F7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E48F7">
        <w:rPr>
          <w:rFonts w:ascii="Calibri" w:hAnsi="Calibri" w:cs="Calibri"/>
          <w:sz w:val="24"/>
          <w:szCs w:val="24"/>
        </w:rPr>
        <w:t xml:space="preserve">Sala de sessões Plínio de Carvalho, </w:t>
      </w:r>
      <w:r w:rsidR="00A077D3">
        <w:rPr>
          <w:rFonts w:ascii="Calibri" w:hAnsi="Calibri" w:cs="Calibri"/>
          <w:sz w:val="24"/>
          <w:szCs w:val="24"/>
        </w:rPr>
        <w:t>03</w:t>
      </w:r>
      <w:r>
        <w:rPr>
          <w:rFonts w:ascii="Calibri" w:hAnsi="Calibri" w:cs="Calibri"/>
          <w:sz w:val="24"/>
          <w:szCs w:val="24"/>
        </w:rPr>
        <w:t xml:space="preserve"> </w:t>
      </w:r>
      <w:r w:rsidR="009154C9">
        <w:rPr>
          <w:rFonts w:ascii="Calibri" w:hAnsi="Calibri" w:cs="Calibri"/>
          <w:sz w:val="24"/>
          <w:szCs w:val="24"/>
        </w:rPr>
        <w:t xml:space="preserve">de </w:t>
      </w:r>
      <w:r w:rsidR="001D3AC8">
        <w:rPr>
          <w:rFonts w:ascii="Calibri" w:hAnsi="Calibri" w:cs="Calibri"/>
          <w:sz w:val="24"/>
          <w:szCs w:val="24"/>
        </w:rPr>
        <w:t>março</w:t>
      </w:r>
      <w:r w:rsidRPr="00DE48F7">
        <w:rPr>
          <w:rFonts w:ascii="Calibri" w:hAnsi="Calibri" w:cs="Calibri"/>
          <w:sz w:val="24"/>
          <w:szCs w:val="24"/>
        </w:rPr>
        <w:t xml:space="preserve"> de 20</w:t>
      </w:r>
      <w:r w:rsidR="001D3AC8">
        <w:rPr>
          <w:rFonts w:ascii="Calibri" w:hAnsi="Calibri" w:cs="Calibri"/>
          <w:sz w:val="24"/>
          <w:szCs w:val="24"/>
        </w:rPr>
        <w:t>17</w:t>
      </w:r>
      <w:r w:rsidRPr="00DE48F7">
        <w:rPr>
          <w:rFonts w:ascii="Calibri" w:hAnsi="Calibri" w:cs="Calibri"/>
          <w:sz w:val="24"/>
          <w:szCs w:val="24"/>
        </w:rPr>
        <w:t>.</w:t>
      </w:r>
    </w:p>
    <w:p w:rsidR="00DE48F7" w:rsidRPr="00DE48F7" w:rsidRDefault="00DE48F7" w:rsidP="00DE48F7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E48F7" w:rsidRPr="00DE48F7" w:rsidRDefault="00DE48F7" w:rsidP="00DE48F7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E48F7" w:rsidRPr="00DE48F7" w:rsidRDefault="00DE48F7" w:rsidP="00DE48F7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E48F7" w:rsidRPr="00DE48F7" w:rsidRDefault="001D3AC8" w:rsidP="00DE48F7">
      <w:pPr>
        <w:ind w:firstLine="2835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MAGAL VERRI</w:t>
      </w:r>
      <w:bookmarkStart w:id="0" w:name="_GoBack"/>
      <w:bookmarkEnd w:id="0"/>
    </w:p>
    <w:p w:rsidR="00DE48F7" w:rsidRPr="0087363B" w:rsidRDefault="00DE48F7" w:rsidP="00DE48F7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E48F7">
        <w:rPr>
          <w:rFonts w:ascii="Calibri" w:hAnsi="Calibri" w:cs="Calibri"/>
          <w:sz w:val="24"/>
          <w:szCs w:val="24"/>
        </w:rPr>
        <w:t>Vereador</w:t>
      </w:r>
    </w:p>
    <w:p w:rsidR="00603973" w:rsidRDefault="00603973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Pr="00B034BC" w:rsidRDefault="00C766B0" w:rsidP="00C766B0">
      <w:pPr>
        <w:jc w:val="both"/>
        <w:rPr>
          <w:rFonts w:ascii="Calibri" w:hAnsi="Calibri" w:cs="Calibri"/>
          <w:b/>
          <w:sz w:val="28"/>
          <w:szCs w:val="28"/>
        </w:rPr>
      </w:pPr>
      <w:r w:rsidRPr="00B034BC">
        <w:rPr>
          <w:rFonts w:ascii="Calibri" w:hAnsi="Calibri" w:cs="Calibri"/>
          <w:b/>
          <w:sz w:val="28"/>
          <w:szCs w:val="28"/>
        </w:rPr>
        <w:t>Justificativa</w:t>
      </w:r>
    </w:p>
    <w:p w:rsidR="00C766B0" w:rsidRPr="00B034BC" w:rsidRDefault="00C766B0" w:rsidP="00C766B0">
      <w:pPr>
        <w:jc w:val="both"/>
        <w:rPr>
          <w:rFonts w:ascii="Calibri" w:hAnsi="Calibri" w:cs="Calibri"/>
          <w:sz w:val="24"/>
          <w:szCs w:val="24"/>
        </w:rPr>
      </w:pPr>
    </w:p>
    <w:p w:rsidR="00C766B0" w:rsidRPr="00B034BC" w:rsidRDefault="00C766B0" w:rsidP="00C766B0">
      <w:pPr>
        <w:jc w:val="both"/>
        <w:rPr>
          <w:rFonts w:ascii="Calibri" w:hAnsi="Calibri" w:cs="Calibri"/>
          <w:sz w:val="24"/>
          <w:szCs w:val="24"/>
        </w:rPr>
      </w:pPr>
      <w:r w:rsidRPr="00B034BC">
        <w:rPr>
          <w:rFonts w:ascii="Calibri" w:hAnsi="Calibri" w:cs="Calibri"/>
          <w:sz w:val="24"/>
          <w:szCs w:val="24"/>
        </w:rPr>
        <w:t>Para aprovação de desmembramento com área inferior a 125.00m2:</w:t>
      </w:r>
    </w:p>
    <w:p w:rsidR="00C766B0" w:rsidRPr="00B034BC" w:rsidRDefault="00C766B0" w:rsidP="00C766B0">
      <w:pPr>
        <w:jc w:val="both"/>
        <w:rPr>
          <w:rFonts w:ascii="Calibri" w:hAnsi="Calibri" w:cs="Calibri"/>
          <w:sz w:val="24"/>
          <w:szCs w:val="24"/>
        </w:rPr>
      </w:pPr>
    </w:p>
    <w:p w:rsidR="00C766B0" w:rsidRPr="00B034BC" w:rsidRDefault="00C766B0" w:rsidP="00C766B0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B034BC">
        <w:rPr>
          <w:rFonts w:ascii="Calibri" w:hAnsi="Calibri" w:cs="Calibri"/>
          <w:sz w:val="24"/>
          <w:szCs w:val="24"/>
        </w:rPr>
        <w:t>Trata-se de um projeto que visa regularizar situações já existentes com duas edificações já concluídas em lotes localizados em bairros onde predominância residências unifamiliares, respeita os recuos e índices permitidos na lei de uso e ocupação do solo estabelecendo um mínimo de testada de acesso com 5,00m alinhada na lei federal 6766 bem como verifica a situação econômica do interessado onde limita o número de propriedade de cada interessado em duas. Esta proposta de lei tem prazo de validade (</w:t>
      </w:r>
      <w:r w:rsidR="00A077D3">
        <w:rPr>
          <w:rFonts w:ascii="Calibri" w:hAnsi="Calibri" w:cs="Calibri"/>
          <w:sz w:val="24"/>
          <w:szCs w:val="24"/>
        </w:rPr>
        <w:t>03</w:t>
      </w:r>
      <w:r w:rsidRPr="00B034BC">
        <w:rPr>
          <w:rFonts w:ascii="Calibri" w:hAnsi="Calibri" w:cs="Calibri"/>
          <w:sz w:val="24"/>
          <w:szCs w:val="24"/>
        </w:rPr>
        <w:t xml:space="preserve"> de </w:t>
      </w:r>
      <w:r w:rsidR="001D3AC8">
        <w:rPr>
          <w:rFonts w:ascii="Calibri" w:hAnsi="Calibri" w:cs="Calibri"/>
          <w:sz w:val="24"/>
          <w:szCs w:val="24"/>
        </w:rPr>
        <w:t>março de 2018</w:t>
      </w:r>
      <w:r w:rsidRPr="00B034BC">
        <w:rPr>
          <w:rFonts w:ascii="Calibri" w:hAnsi="Calibri" w:cs="Calibri"/>
          <w:sz w:val="24"/>
          <w:szCs w:val="24"/>
        </w:rPr>
        <w:t>) vai possibilitar o desmembramento em duas partes somente, para posterior regularização da titularidade bem como não se estende a lotes em condomínios fechados, zonas ZOPRE AEIU, chácaras de recreio e outras zonas onde a predominância dos lotes possuem superfície maior.</w:t>
      </w:r>
    </w:p>
    <w:p w:rsidR="00C766B0" w:rsidRPr="00B034BC" w:rsidRDefault="00C766B0" w:rsidP="00C766B0">
      <w:pPr>
        <w:jc w:val="both"/>
        <w:rPr>
          <w:rFonts w:ascii="Calibri" w:hAnsi="Calibri" w:cs="Calibri"/>
          <w:sz w:val="24"/>
          <w:szCs w:val="24"/>
        </w:rPr>
      </w:pPr>
    </w:p>
    <w:p w:rsidR="00C766B0" w:rsidRPr="00B034BC" w:rsidRDefault="00C766B0" w:rsidP="00963F0C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B034BC">
        <w:rPr>
          <w:rFonts w:ascii="Calibri" w:hAnsi="Calibri" w:cs="Calibri"/>
          <w:sz w:val="24"/>
          <w:szCs w:val="24"/>
        </w:rPr>
        <w:t xml:space="preserve">Trata-se modificação para permitir desmembramento no zoneamento </w:t>
      </w:r>
      <w:proofErr w:type="spellStart"/>
      <w:r w:rsidRPr="00B034BC">
        <w:rPr>
          <w:rFonts w:ascii="Calibri" w:hAnsi="Calibri" w:cs="Calibri"/>
          <w:sz w:val="24"/>
          <w:szCs w:val="24"/>
        </w:rPr>
        <w:t>zepp</w:t>
      </w:r>
      <w:proofErr w:type="spellEnd"/>
      <w:r w:rsidRPr="00B034BC">
        <w:rPr>
          <w:rFonts w:ascii="Calibri" w:hAnsi="Calibri" w:cs="Calibri"/>
          <w:sz w:val="24"/>
          <w:szCs w:val="24"/>
        </w:rPr>
        <w:t xml:space="preserve"> – onde notadamente estes bairros são residenciais</w:t>
      </w:r>
      <w:r w:rsidR="00963F0C">
        <w:rPr>
          <w:rFonts w:ascii="Calibri" w:hAnsi="Calibri" w:cs="Calibri"/>
          <w:sz w:val="24"/>
          <w:szCs w:val="24"/>
        </w:rPr>
        <w:t>, n</w:t>
      </w:r>
      <w:r w:rsidRPr="00B034BC">
        <w:rPr>
          <w:rFonts w:ascii="Calibri" w:hAnsi="Calibri" w:cs="Calibri"/>
          <w:sz w:val="24"/>
          <w:szCs w:val="24"/>
        </w:rPr>
        <w:t>ão se refere a novos loteamentos trata-se de regularizar o que existe configurado com duas edificações já concluídas.</w:t>
      </w:r>
    </w:p>
    <w:p w:rsidR="00C766B0" w:rsidRPr="00F13254" w:rsidRDefault="00C766B0" w:rsidP="00C766B0">
      <w:pPr>
        <w:jc w:val="both"/>
        <w:rPr>
          <w:rFonts w:ascii="Arial" w:hAnsi="Arial" w:cs="Arial"/>
          <w:b/>
          <w:sz w:val="28"/>
          <w:szCs w:val="28"/>
        </w:rPr>
      </w:pPr>
    </w:p>
    <w:p w:rsidR="00DE48F7" w:rsidRPr="00DE48F7" w:rsidRDefault="00DE48F7" w:rsidP="00DE48F7">
      <w:pPr>
        <w:jc w:val="center"/>
        <w:rPr>
          <w:rFonts w:ascii="Calibri" w:hAnsi="Calibri" w:cs="Calibri"/>
          <w:sz w:val="24"/>
          <w:szCs w:val="24"/>
        </w:rPr>
      </w:pPr>
      <w:r w:rsidRPr="00DE48F7">
        <w:rPr>
          <w:rFonts w:ascii="Calibri" w:hAnsi="Calibri" w:cs="Calibri"/>
          <w:sz w:val="24"/>
          <w:szCs w:val="24"/>
        </w:rPr>
        <w:t xml:space="preserve">Sala de sessões Plínio de Carvalho, </w:t>
      </w:r>
      <w:r w:rsidR="00A077D3">
        <w:rPr>
          <w:rFonts w:ascii="Calibri" w:hAnsi="Calibri" w:cs="Calibri"/>
          <w:sz w:val="24"/>
          <w:szCs w:val="24"/>
        </w:rPr>
        <w:t>03</w:t>
      </w:r>
      <w:r>
        <w:rPr>
          <w:rFonts w:ascii="Calibri" w:hAnsi="Calibri" w:cs="Calibri"/>
          <w:sz w:val="24"/>
          <w:szCs w:val="24"/>
        </w:rPr>
        <w:t xml:space="preserve"> </w:t>
      </w:r>
      <w:r w:rsidR="00B36AED">
        <w:rPr>
          <w:rFonts w:ascii="Calibri" w:hAnsi="Calibri" w:cs="Calibri"/>
          <w:sz w:val="24"/>
          <w:szCs w:val="24"/>
        </w:rPr>
        <w:t xml:space="preserve">de </w:t>
      </w:r>
      <w:r w:rsidR="001D3AC8">
        <w:rPr>
          <w:rFonts w:ascii="Calibri" w:hAnsi="Calibri" w:cs="Calibri"/>
          <w:sz w:val="24"/>
          <w:szCs w:val="24"/>
        </w:rPr>
        <w:t xml:space="preserve">março </w:t>
      </w:r>
      <w:r w:rsidR="00B36AED">
        <w:rPr>
          <w:rFonts w:ascii="Calibri" w:hAnsi="Calibri" w:cs="Calibri"/>
          <w:sz w:val="24"/>
          <w:szCs w:val="24"/>
        </w:rPr>
        <w:t xml:space="preserve">de </w:t>
      </w:r>
      <w:r w:rsidR="001D3AC8">
        <w:rPr>
          <w:rFonts w:ascii="Calibri" w:hAnsi="Calibri" w:cs="Calibri"/>
          <w:sz w:val="24"/>
          <w:szCs w:val="24"/>
        </w:rPr>
        <w:t>2017.</w:t>
      </w:r>
    </w:p>
    <w:p w:rsidR="00DE48F7" w:rsidRPr="00DE48F7" w:rsidRDefault="00DE48F7" w:rsidP="00DE48F7">
      <w:pPr>
        <w:ind w:firstLine="2835"/>
        <w:jc w:val="center"/>
        <w:rPr>
          <w:rFonts w:ascii="Calibri" w:hAnsi="Calibri" w:cs="Calibri"/>
          <w:sz w:val="24"/>
          <w:szCs w:val="24"/>
        </w:rPr>
      </w:pPr>
    </w:p>
    <w:p w:rsidR="00DE48F7" w:rsidRPr="00DE48F7" w:rsidRDefault="00DE48F7" w:rsidP="00DE48F7">
      <w:pPr>
        <w:ind w:firstLine="2835"/>
        <w:jc w:val="center"/>
        <w:rPr>
          <w:rFonts w:ascii="Calibri" w:hAnsi="Calibri" w:cs="Calibri"/>
          <w:sz w:val="24"/>
          <w:szCs w:val="24"/>
        </w:rPr>
      </w:pPr>
    </w:p>
    <w:p w:rsidR="00DE48F7" w:rsidRPr="00DE48F7" w:rsidRDefault="00DE48F7" w:rsidP="00DE48F7">
      <w:pPr>
        <w:ind w:firstLine="2835"/>
        <w:jc w:val="center"/>
        <w:rPr>
          <w:rFonts w:ascii="Calibri" w:hAnsi="Calibri" w:cs="Calibri"/>
          <w:sz w:val="24"/>
          <w:szCs w:val="24"/>
        </w:rPr>
      </w:pPr>
    </w:p>
    <w:p w:rsidR="00DE48F7" w:rsidRPr="00DE48F7" w:rsidRDefault="001D3AC8" w:rsidP="00DE48F7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MAGAL VERRI</w:t>
      </w:r>
    </w:p>
    <w:p w:rsidR="00DE48F7" w:rsidRPr="0087363B" w:rsidRDefault="00DE48F7" w:rsidP="00DE48F7">
      <w:pPr>
        <w:jc w:val="center"/>
        <w:rPr>
          <w:rFonts w:ascii="Calibri" w:hAnsi="Calibri" w:cs="Calibri"/>
          <w:sz w:val="24"/>
          <w:szCs w:val="24"/>
        </w:rPr>
      </w:pPr>
      <w:r w:rsidRPr="00DE48F7">
        <w:rPr>
          <w:rFonts w:ascii="Calibri" w:hAnsi="Calibri" w:cs="Calibri"/>
          <w:sz w:val="24"/>
          <w:szCs w:val="24"/>
        </w:rPr>
        <w:t>Vereador</w:t>
      </w:r>
    </w:p>
    <w:p w:rsidR="00DE48F7" w:rsidRDefault="00DE48F7" w:rsidP="00DE48F7">
      <w:pPr>
        <w:rPr>
          <w:sz w:val="16"/>
        </w:rPr>
      </w:pPr>
    </w:p>
    <w:p w:rsidR="00C766B0" w:rsidRPr="00D27BD5" w:rsidRDefault="00C766B0" w:rsidP="00C766B0">
      <w:pPr>
        <w:jc w:val="both"/>
        <w:rPr>
          <w:rFonts w:ascii="Arial" w:hAnsi="Arial" w:cs="Arial"/>
          <w:sz w:val="28"/>
          <w:szCs w:val="28"/>
        </w:rPr>
      </w:pPr>
    </w:p>
    <w:p w:rsidR="00C766B0" w:rsidRDefault="00C766B0" w:rsidP="00D47EAB">
      <w:pPr>
        <w:rPr>
          <w:sz w:val="16"/>
        </w:rPr>
      </w:pPr>
    </w:p>
    <w:p w:rsidR="00C766B0" w:rsidRDefault="00C766B0" w:rsidP="00D47EAB">
      <w:pPr>
        <w:rPr>
          <w:sz w:val="16"/>
        </w:rPr>
      </w:pPr>
    </w:p>
    <w:p w:rsidR="00C766B0" w:rsidRPr="00603973" w:rsidRDefault="00C766B0" w:rsidP="00D47EAB">
      <w:pPr>
        <w:rPr>
          <w:sz w:val="16"/>
        </w:rPr>
      </w:pPr>
    </w:p>
    <w:sectPr w:rsidR="00C766B0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97F" w:rsidRDefault="00A3697F">
      <w:r>
        <w:separator/>
      </w:r>
    </w:p>
  </w:endnote>
  <w:endnote w:type="continuationSeparator" w:id="0">
    <w:p w:rsidR="00A3697F" w:rsidRDefault="00A3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97F" w:rsidRDefault="00A3697F">
      <w:r>
        <w:separator/>
      </w:r>
    </w:p>
  </w:footnote>
  <w:footnote w:type="continuationSeparator" w:id="0">
    <w:p w:rsidR="00A3697F" w:rsidRDefault="00A36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3697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CC4AC6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CC4AC6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CC4AC6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  <w:p w:rsidR="00CC4AC6" w:rsidRDefault="00CC4AC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3697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C4C51"/>
    <w:multiLevelType w:val="hybridMultilevel"/>
    <w:tmpl w:val="38160F10"/>
    <w:lvl w:ilvl="0" w:tplc="333AB4F4">
      <w:start w:val="1"/>
      <w:numFmt w:val="upperRoman"/>
      <w:lvlText w:val="%1 -"/>
      <w:lvlJc w:val="right"/>
      <w:pPr>
        <w:ind w:left="4122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484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556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628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700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772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844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916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9882" w:hanging="180"/>
      </w:pPr>
      <w:rPr>
        <w:rFonts w:cs="Times New Roman"/>
      </w:rPr>
    </w:lvl>
  </w:abstractNum>
  <w:abstractNum w:abstractNumId="1" w15:restartNumberingAfterBreak="0">
    <w:nsid w:val="55254190"/>
    <w:multiLevelType w:val="hybridMultilevel"/>
    <w:tmpl w:val="1E9EFFC6"/>
    <w:lvl w:ilvl="0" w:tplc="11E03DBE">
      <w:start w:val="1"/>
      <w:numFmt w:val="upperRoman"/>
      <w:lvlText w:val="%1 -"/>
      <w:lvlJc w:val="right"/>
      <w:pPr>
        <w:ind w:left="4126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484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556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628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700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772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844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916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988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F8C"/>
    <w:rsid w:val="00014AEB"/>
    <w:rsid w:val="00022312"/>
    <w:rsid w:val="000357C0"/>
    <w:rsid w:val="00037BF7"/>
    <w:rsid w:val="00045E2D"/>
    <w:rsid w:val="000553B2"/>
    <w:rsid w:val="0006545D"/>
    <w:rsid w:val="00070C91"/>
    <w:rsid w:val="0007602B"/>
    <w:rsid w:val="00080161"/>
    <w:rsid w:val="00093B8E"/>
    <w:rsid w:val="000F3572"/>
    <w:rsid w:val="00101445"/>
    <w:rsid w:val="00127FE1"/>
    <w:rsid w:val="001303C4"/>
    <w:rsid w:val="001346E5"/>
    <w:rsid w:val="001503A3"/>
    <w:rsid w:val="00153948"/>
    <w:rsid w:val="00161181"/>
    <w:rsid w:val="00173D1D"/>
    <w:rsid w:val="0017433B"/>
    <w:rsid w:val="00180105"/>
    <w:rsid w:val="0019062F"/>
    <w:rsid w:val="001A21F4"/>
    <w:rsid w:val="001A732B"/>
    <w:rsid w:val="001C6786"/>
    <w:rsid w:val="001D3AC8"/>
    <w:rsid w:val="001E6068"/>
    <w:rsid w:val="001E72DE"/>
    <w:rsid w:val="00221205"/>
    <w:rsid w:val="00221FB8"/>
    <w:rsid w:val="002A0966"/>
    <w:rsid w:val="002C248D"/>
    <w:rsid w:val="002C2547"/>
    <w:rsid w:val="002D290A"/>
    <w:rsid w:val="002D397D"/>
    <w:rsid w:val="002E4C99"/>
    <w:rsid w:val="003051EA"/>
    <w:rsid w:val="00305AE7"/>
    <w:rsid w:val="00316EB3"/>
    <w:rsid w:val="003338CB"/>
    <w:rsid w:val="00352940"/>
    <w:rsid w:val="003632B6"/>
    <w:rsid w:val="00364D92"/>
    <w:rsid w:val="00365B4A"/>
    <w:rsid w:val="003744DD"/>
    <w:rsid w:val="00386462"/>
    <w:rsid w:val="00396014"/>
    <w:rsid w:val="003A3A7C"/>
    <w:rsid w:val="003C3464"/>
    <w:rsid w:val="003C3CEE"/>
    <w:rsid w:val="003E38F6"/>
    <w:rsid w:val="003F65A4"/>
    <w:rsid w:val="0040194B"/>
    <w:rsid w:val="00440DB9"/>
    <w:rsid w:val="004567E5"/>
    <w:rsid w:val="004957DE"/>
    <w:rsid w:val="004A1B2C"/>
    <w:rsid w:val="004F1598"/>
    <w:rsid w:val="005042FE"/>
    <w:rsid w:val="005170F3"/>
    <w:rsid w:val="00524EA2"/>
    <w:rsid w:val="005252E0"/>
    <w:rsid w:val="00541CF0"/>
    <w:rsid w:val="00547EE3"/>
    <w:rsid w:val="00564421"/>
    <w:rsid w:val="0059443B"/>
    <w:rsid w:val="005A56CA"/>
    <w:rsid w:val="005C08F5"/>
    <w:rsid w:val="005C36E3"/>
    <w:rsid w:val="005C702F"/>
    <w:rsid w:val="00603973"/>
    <w:rsid w:val="006203FB"/>
    <w:rsid w:val="0065244D"/>
    <w:rsid w:val="00660115"/>
    <w:rsid w:val="00666D4C"/>
    <w:rsid w:val="00693FF9"/>
    <w:rsid w:val="0069503B"/>
    <w:rsid w:val="006D20B6"/>
    <w:rsid w:val="006D397D"/>
    <w:rsid w:val="006D7C61"/>
    <w:rsid w:val="006F3BC8"/>
    <w:rsid w:val="0071258A"/>
    <w:rsid w:val="007325B5"/>
    <w:rsid w:val="0074468B"/>
    <w:rsid w:val="00745C54"/>
    <w:rsid w:val="00753B43"/>
    <w:rsid w:val="007574A1"/>
    <w:rsid w:val="00772EE2"/>
    <w:rsid w:val="00774451"/>
    <w:rsid w:val="00783E4F"/>
    <w:rsid w:val="007853F9"/>
    <w:rsid w:val="00791B29"/>
    <w:rsid w:val="0079307D"/>
    <w:rsid w:val="007A02FB"/>
    <w:rsid w:val="007A26BB"/>
    <w:rsid w:val="007D0542"/>
    <w:rsid w:val="007F1B26"/>
    <w:rsid w:val="00832EAB"/>
    <w:rsid w:val="00864528"/>
    <w:rsid w:val="0087363B"/>
    <w:rsid w:val="008775C3"/>
    <w:rsid w:val="008C07F3"/>
    <w:rsid w:val="008C0F34"/>
    <w:rsid w:val="008C2ECA"/>
    <w:rsid w:val="009154C9"/>
    <w:rsid w:val="00933257"/>
    <w:rsid w:val="00953EDE"/>
    <w:rsid w:val="00963F0C"/>
    <w:rsid w:val="009A7F37"/>
    <w:rsid w:val="009E33C5"/>
    <w:rsid w:val="009F6BE3"/>
    <w:rsid w:val="00A077D3"/>
    <w:rsid w:val="00A3697F"/>
    <w:rsid w:val="00A65215"/>
    <w:rsid w:val="00A758EF"/>
    <w:rsid w:val="00A766FF"/>
    <w:rsid w:val="00A87BA4"/>
    <w:rsid w:val="00AE29E8"/>
    <w:rsid w:val="00AF1CA6"/>
    <w:rsid w:val="00AF3B6E"/>
    <w:rsid w:val="00AF3CAF"/>
    <w:rsid w:val="00AF3DD4"/>
    <w:rsid w:val="00B034BC"/>
    <w:rsid w:val="00B36AED"/>
    <w:rsid w:val="00B445A2"/>
    <w:rsid w:val="00B668BF"/>
    <w:rsid w:val="00B74C19"/>
    <w:rsid w:val="00B940D4"/>
    <w:rsid w:val="00B9728F"/>
    <w:rsid w:val="00BB29FF"/>
    <w:rsid w:val="00BB48C7"/>
    <w:rsid w:val="00C308BF"/>
    <w:rsid w:val="00C506C6"/>
    <w:rsid w:val="00C55263"/>
    <w:rsid w:val="00C67BD2"/>
    <w:rsid w:val="00C766B0"/>
    <w:rsid w:val="00C9101A"/>
    <w:rsid w:val="00CA2ABF"/>
    <w:rsid w:val="00CB4BDC"/>
    <w:rsid w:val="00CC413A"/>
    <w:rsid w:val="00CC4AC6"/>
    <w:rsid w:val="00CE44A4"/>
    <w:rsid w:val="00D01586"/>
    <w:rsid w:val="00D269C0"/>
    <w:rsid w:val="00D379BD"/>
    <w:rsid w:val="00D47EAB"/>
    <w:rsid w:val="00D562BA"/>
    <w:rsid w:val="00D80A79"/>
    <w:rsid w:val="00D9102D"/>
    <w:rsid w:val="00DA4A40"/>
    <w:rsid w:val="00DC2C72"/>
    <w:rsid w:val="00DC5C88"/>
    <w:rsid w:val="00DD4085"/>
    <w:rsid w:val="00DD4D6F"/>
    <w:rsid w:val="00DE48F7"/>
    <w:rsid w:val="00DF6538"/>
    <w:rsid w:val="00E038D1"/>
    <w:rsid w:val="00E11403"/>
    <w:rsid w:val="00E20EBB"/>
    <w:rsid w:val="00E33773"/>
    <w:rsid w:val="00E41C1B"/>
    <w:rsid w:val="00E54FE9"/>
    <w:rsid w:val="00E6187D"/>
    <w:rsid w:val="00E64E26"/>
    <w:rsid w:val="00E72367"/>
    <w:rsid w:val="00E808E3"/>
    <w:rsid w:val="00E81C7E"/>
    <w:rsid w:val="00E9345B"/>
    <w:rsid w:val="00EA62C9"/>
    <w:rsid w:val="00EA727B"/>
    <w:rsid w:val="00EC5ADC"/>
    <w:rsid w:val="00EF20DE"/>
    <w:rsid w:val="00EF2845"/>
    <w:rsid w:val="00EF38A0"/>
    <w:rsid w:val="00F16907"/>
    <w:rsid w:val="00F52BF8"/>
    <w:rsid w:val="00F545AF"/>
    <w:rsid w:val="00F72148"/>
    <w:rsid w:val="00F737CC"/>
    <w:rsid w:val="00F7759A"/>
    <w:rsid w:val="00F80DDE"/>
    <w:rsid w:val="00F85360"/>
    <w:rsid w:val="00F936E5"/>
    <w:rsid w:val="00FC3EB7"/>
    <w:rsid w:val="00FD4F10"/>
    <w:rsid w:val="00FD5915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1AC7479-E240-453F-8BEC-CD72BAED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AC6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PargrafodaLista">
    <w:name w:val="List Paragraph"/>
    <w:basedOn w:val="Normal"/>
    <w:uiPriority w:val="34"/>
    <w:qFormat/>
    <w:rsid w:val="008775C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77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Magal Verri</cp:lastModifiedBy>
  <cp:revision>6</cp:revision>
  <cp:lastPrinted>2017-03-03T13:20:00Z</cp:lastPrinted>
  <dcterms:created xsi:type="dcterms:W3CDTF">2017-03-02T20:17:00Z</dcterms:created>
  <dcterms:modified xsi:type="dcterms:W3CDTF">2017-03-03T13:25:00Z</dcterms:modified>
</cp:coreProperties>
</file>