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62" w:rsidRDefault="00B13262" w:rsidP="00B13262">
      <w:pPr>
        <w:pStyle w:val="Ttulo"/>
        <w:rPr>
          <w:sz w:val="32"/>
          <w:szCs w:val="32"/>
          <w:u w:val="words"/>
        </w:rPr>
      </w:pPr>
      <w:r>
        <w:t>CÂMARA MUNICIPAL DE ARARAQUARA</w:t>
      </w:r>
    </w:p>
    <w:p w:rsidR="00B13262" w:rsidRDefault="00B13262" w:rsidP="00B13262">
      <w:pPr>
        <w:ind w:left="567" w:right="-374"/>
        <w:jc w:val="center"/>
        <w:rPr>
          <w:sz w:val="32"/>
          <w:szCs w:val="32"/>
          <w:u w:val="words"/>
        </w:rPr>
      </w:pPr>
    </w:p>
    <w:p w:rsidR="00B13262" w:rsidRDefault="00B13262" w:rsidP="00B13262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B13262" w:rsidRDefault="00B13262" w:rsidP="00B13262">
      <w:pPr>
        <w:ind w:left="567" w:right="-374"/>
        <w:jc w:val="center"/>
        <w:rPr>
          <w:sz w:val="32"/>
          <w:szCs w:val="32"/>
          <w:u w:val="words"/>
        </w:rPr>
      </w:pPr>
    </w:p>
    <w:p w:rsidR="00B13262" w:rsidRDefault="00B13262" w:rsidP="00B13262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423DD4" w:rsidTr="00054884">
        <w:tc>
          <w:tcPr>
            <w:tcW w:w="2552" w:type="dxa"/>
          </w:tcPr>
          <w:p w:rsidR="00423DD4" w:rsidRDefault="00423DD4" w:rsidP="00054884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</w:tcPr>
          <w:p w:rsidR="00423DD4" w:rsidRDefault="003D3A37" w:rsidP="00054884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440</w:t>
            </w:r>
          </w:p>
        </w:tc>
        <w:tc>
          <w:tcPr>
            <w:tcW w:w="1132" w:type="dxa"/>
          </w:tcPr>
          <w:p w:rsidR="00423DD4" w:rsidRDefault="00423DD4" w:rsidP="00AC0AE9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0D29F4">
              <w:rPr>
                <w:b/>
                <w:bCs/>
                <w:sz w:val="32"/>
                <w:szCs w:val="32"/>
              </w:rPr>
              <w:t>16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:rsidR="00B13262" w:rsidRDefault="00B13262" w:rsidP="00B13262">
      <w:pPr>
        <w:ind w:left="567" w:right="-374"/>
        <w:jc w:val="center"/>
        <w:rPr>
          <w:b/>
          <w:bCs/>
          <w:sz w:val="32"/>
          <w:szCs w:val="32"/>
        </w:rPr>
      </w:pPr>
    </w:p>
    <w:p w:rsidR="00B13262" w:rsidRDefault="00B13262" w:rsidP="00B13262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13262" w:rsidRDefault="00B13262" w:rsidP="00B13262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presente projeto de lei nº </w:t>
      </w:r>
      <w:r w:rsidR="00BF04B2">
        <w:rPr>
          <w:rFonts w:ascii="Arial" w:hAnsi="Arial" w:cs="Arial"/>
          <w:sz w:val="24"/>
          <w:szCs w:val="24"/>
        </w:rPr>
        <w:t>245</w:t>
      </w:r>
      <w:r w:rsidR="000D29F4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, de iniciativa do Vereador </w:t>
      </w:r>
      <w:r w:rsidR="00BF04B2">
        <w:rPr>
          <w:rFonts w:ascii="Arial" w:hAnsi="Arial" w:cs="Arial"/>
          <w:sz w:val="24"/>
          <w:szCs w:val="24"/>
        </w:rPr>
        <w:t>WILLIAM AFFONSO</w:t>
      </w:r>
      <w:r>
        <w:rPr>
          <w:rFonts w:ascii="Arial" w:hAnsi="Arial" w:cs="Arial"/>
          <w:sz w:val="24"/>
          <w:szCs w:val="24"/>
        </w:rPr>
        <w:t xml:space="preserve">, </w:t>
      </w:r>
      <w:r w:rsidR="00BF04B2">
        <w:rPr>
          <w:rFonts w:ascii="Arial" w:hAnsi="Arial" w:cs="Arial"/>
          <w:sz w:val="24"/>
          <w:szCs w:val="24"/>
        </w:rPr>
        <w:t>d</w:t>
      </w:r>
      <w:r w:rsidR="00BF04B2" w:rsidRPr="00BF04B2">
        <w:rPr>
          <w:rFonts w:ascii="Arial" w:hAnsi="Arial" w:cs="Arial"/>
          <w:sz w:val="24"/>
          <w:szCs w:val="24"/>
        </w:rPr>
        <w:t>ispõe sobre a proibição da Queima, soltura e manuseio de Fogos de Artifício e Artefatos Pirotécnico no Município de Araraquara, e dá outras providências.</w:t>
      </w:r>
    </w:p>
    <w:p w:rsidR="00B13262" w:rsidRDefault="00B13262" w:rsidP="00B13262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62C29" w:rsidRDefault="00B13262" w:rsidP="00F62C2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62C29">
        <w:rPr>
          <w:rFonts w:ascii="Arial" w:hAnsi="Arial" w:cs="Arial"/>
          <w:sz w:val="24"/>
          <w:szCs w:val="24"/>
        </w:rPr>
        <w:t>Preliminarmente solicitamos que fosse o IBAM - Instituto Brasileiro de Administração Municipal sobre a matéria.</w:t>
      </w:r>
    </w:p>
    <w:p w:rsidR="00F62C29" w:rsidRDefault="00F62C29" w:rsidP="00F62C2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62C29" w:rsidRDefault="00F62C29" w:rsidP="00F62C2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parecer nº </w:t>
      </w:r>
      <w:r w:rsidR="00BF04B2">
        <w:rPr>
          <w:rFonts w:ascii="Arial" w:hAnsi="Arial" w:cs="Arial"/>
          <w:sz w:val="24"/>
          <w:szCs w:val="24"/>
        </w:rPr>
        <w:t>3336/2016</w:t>
      </w:r>
      <w:r>
        <w:rPr>
          <w:rFonts w:ascii="Arial" w:hAnsi="Arial" w:cs="Arial"/>
          <w:sz w:val="24"/>
          <w:szCs w:val="24"/>
        </w:rPr>
        <w:t>, emitido pelo referido Instituto, tem a seguinte ementa:</w:t>
      </w:r>
    </w:p>
    <w:p w:rsidR="00F62C29" w:rsidRDefault="00F62C29" w:rsidP="00F62C2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F62C29" w:rsidRDefault="00F62C29" w:rsidP="00BF04B2">
      <w:pPr>
        <w:pStyle w:val="Textoembloco"/>
      </w:pPr>
      <w:r>
        <w:t>“</w:t>
      </w:r>
      <w:r w:rsidR="00BF04B2">
        <w:t>PG – Processo Legislativo. Projeto de Lei. Iniciativa parlamentar. Fogos de artifício e artefatos pirotécnicos silenciosos. Considerações</w:t>
      </w:r>
      <w:r>
        <w:t>”.</w:t>
      </w:r>
    </w:p>
    <w:p w:rsidR="00F62C29" w:rsidRDefault="00F62C29" w:rsidP="00F62C29">
      <w:pPr>
        <w:pStyle w:val="Textoembloco"/>
      </w:pPr>
    </w:p>
    <w:p w:rsidR="00F62C29" w:rsidRDefault="00F62C29" w:rsidP="00F62C29">
      <w:pPr>
        <w:pStyle w:val="Textoembloco"/>
      </w:pPr>
      <w:r>
        <w:t>Destacamos do referido parecer os seguintes trechos:</w:t>
      </w:r>
    </w:p>
    <w:p w:rsidR="00BF04B2" w:rsidRDefault="00BF04B2" w:rsidP="00F62C29">
      <w:pPr>
        <w:pStyle w:val="Textoembloco"/>
      </w:pPr>
    </w:p>
    <w:p w:rsidR="00BF04B2" w:rsidRDefault="00BF04B2" w:rsidP="00BF04B2">
      <w:pPr>
        <w:pStyle w:val="Textoembloco"/>
      </w:pPr>
      <w:r>
        <w:t>A Constituição deixou aos Municípios, em decorrência de sua autonomia político-administrativa, a prerrogativa de fixar as condicionantes de atividades, bens e serviços que sejam nocivos ou inconvenientes ao bem-estar da população local, dado que lhe incumbem o exercício do poder de polícia administrativa sobre a segurança das construções, a preservação da saúde pública, do meio-ambiente e do sossego público e a ordenação do espaço urbano.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t>Assim é que se encontra sob a responsabilidade do Município zelar pela manutenção dos bons costumes, da segurança e da ordem pública nos seus limites territoriais, em ação complementar a do Estado, a quem compete à repressão ao crime e às contravenções.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t xml:space="preserve">Nessa esteira, </w:t>
      </w:r>
      <w:r w:rsidRPr="00BF04B2">
        <w:rPr>
          <w:b/>
        </w:rPr>
        <w:t>o Município possui inteira competência para</w:t>
      </w:r>
      <w:r>
        <w:rPr>
          <w:b/>
        </w:rPr>
        <w:t xml:space="preserve"> </w:t>
      </w:r>
      <w:r w:rsidRPr="00BF04B2">
        <w:rPr>
          <w:b/>
        </w:rPr>
        <w:t xml:space="preserve">instituir </w:t>
      </w:r>
      <w:r w:rsidRPr="00BF04B2">
        <w:t xml:space="preserve">regras que digam </w:t>
      </w:r>
      <w:r w:rsidRPr="00BF04B2">
        <w:lastRenderedPageBreak/>
        <w:t>respeito à higiene e ao sossego público; ao</w:t>
      </w:r>
      <w:r>
        <w:t xml:space="preserve"> </w:t>
      </w:r>
      <w:r w:rsidRPr="00BF04B2">
        <w:t>trânsito e tráfego; à ocupação das vias públicas; à fiscalização de anúncios</w:t>
      </w:r>
      <w:r>
        <w:t xml:space="preserve"> </w:t>
      </w:r>
      <w:r w:rsidRPr="00BF04B2">
        <w:t>e cartazes; à adoção de medidas referentes aos animais e ao combate às</w:t>
      </w:r>
      <w:r>
        <w:t xml:space="preserve"> </w:t>
      </w:r>
      <w:r w:rsidRPr="00BF04B2">
        <w:t>plantas e insetos nocivos; ao horário de funcionamento do comércio e da</w:t>
      </w:r>
      <w:r>
        <w:t xml:space="preserve"> </w:t>
      </w:r>
      <w:r w:rsidRPr="00BF04B2">
        <w:t>indústria, etc. A essas normas é o que se convencionou chamar de</w:t>
      </w:r>
      <w:r>
        <w:t xml:space="preserve"> </w:t>
      </w:r>
      <w:r w:rsidRPr="00BF04B2">
        <w:t>posturas municipais, que disciplinam o exercício do poder de polícia</w:t>
      </w:r>
      <w:r>
        <w:t xml:space="preserve"> </w:t>
      </w:r>
      <w:r w:rsidRPr="00BF04B2">
        <w:t>administrativa do Poder Público sobre os estabelecimentos locais, bem</w:t>
      </w:r>
      <w:r>
        <w:t xml:space="preserve"> </w:t>
      </w:r>
      <w:r w:rsidRPr="00BF04B2">
        <w:t>como sobre seus munícipes.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t>Conclui-se, então, ter o Município competência para exercer o Poder de Polícia nas suas quatro fases; legislando (ordem de polícia), emitindo alvará de licença ou de autorização (consentimento de polícia),</w:t>
      </w:r>
    </w:p>
    <w:p w:rsidR="00BF04B2" w:rsidRDefault="00BF04B2" w:rsidP="00BF04B2">
      <w:pPr>
        <w:pStyle w:val="Textoembloco"/>
      </w:pPr>
      <w:r>
        <w:t>além de fiscalizar e aplicar sanções de polícia. Todavia, ainda que no exercício do Poder de Polícia, não poderá a municipalidade proibir a comercialização de um produto perigoso ou potencialmente poluidor, porém lícito, mas tão somente regulamentar a sua comercialização em conformidade com o interesse local.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t>Se o município proíbe a fabricação, comercialização ou utilização de produto, ainda considerado lícito em território nacional, malfere a competência legislativa da União. O município não pode, a pretexto de legislar sobre direito do consumidor, impedir o exercício local de atividade econômica lícita em território nacional. Também não pode impedir o consumo/utilização de produto lícito por parte da população.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t>Nesta trilha, verifica-se que no que se refere aos fogos de artifício e artefatos pirotécnicos, é de se consignar que, existe em âmbito federal o Decreto nº 3.665/2000 - também conhecido como R-105, do Ministério do Exército - que dispõe sobre a fabricação, comércio, transporte e uso de materiais controlados, entre eles os fogos de artifício, de estampido e balões pirotécnicos. Verifica-se, portanto, que em legislação federal não há qualquer proibição em relação à comercialização e uso de fogos de artifício, razão pela qual o município não o poderia fazê-lo em âmbito municipal.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lastRenderedPageBreak/>
        <w:t>Assim, o Projeto de Lei em tela pretende permitir tão somente o uso de fogos de artifício "silenciosos", tornando ilícito administrativo o uso daqueles que emitam ruídos, sem trazer em seu bojo o que seria "silencioso" ou quais seriam os critérios objetivos para serem considerados aptos a serem usados.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t>Sobre este aspecto, em relação aos níveis excessivos de ruídos estão sujeitos à normatização e ao estabelecimento de padrões compatíveis com o meio ambiente equilibrado e necessário à sadia qualidade de vida, competência atribuída ao CONAMA (Conselho Nacional do Meio Ambiente), de acordo com o que dispõe o artigo 6º, II, da Lei nº 6.938/81.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t>Desse modo, os índices de emissão de ruídos sonoros aceitáveis no território nacional são estabelecidos conforme as Resoluções do CONAMA (sobretudo as de nºs 01/1990, 02/1990 e 20/1994) e são determinados de acordo com a zona (urbana ou rural), usos permitidos (residencial, comercial, misto, industrial) e horário segundo a Norma Brasileira Registrada (NBR) nº 10.151, da Associação Brasileira de Normas Técnicas (ABNT).</w:t>
      </w:r>
    </w:p>
    <w:p w:rsidR="00BF04B2" w:rsidRDefault="00BF04B2" w:rsidP="00BF04B2">
      <w:pPr>
        <w:pStyle w:val="Textoembloco"/>
      </w:pPr>
    </w:p>
    <w:p w:rsidR="00BF04B2" w:rsidRDefault="00BF04B2" w:rsidP="00BF04B2">
      <w:pPr>
        <w:pStyle w:val="Textoembloco"/>
      </w:pPr>
      <w:r>
        <w:t>Mais especificamente no caso em apreço, certo é que compete ao Inmetro (Instituto Nacional de Metrologia, Qualidade e Tecnologia) baixar a regulamentação sobre a nocividade à saúde humana e animal em relação ao uso deste artefato. Dessa forma, todos os produtos fabricados e utilizados no país, além dos importados, teriam que estar adequados a norma desse Instituto, o que reforça o aspecto de interesse nacional e não o municipal.</w:t>
      </w:r>
    </w:p>
    <w:p w:rsidR="00CB2BBB" w:rsidRDefault="00CB2BBB" w:rsidP="00BF04B2">
      <w:pPr>
        <w:pStyle w:val="Textoembloco"/>
      </w:pPr>
    </w:p>
    <w:p w:rsidR="00CB2BBB" w:rsidRDefault="00CB2BBB" w:rsidP="00CB2BBB">
      <w:pPr>
        <w:pStyle w:val="Textoembloco"/>
      </w:pPr>
      <w:r>
        <w:t>Em outras palavras, o uso de fogos de artifício que emitam sons dentro dos padrões estabelecidos pela ABNT e certificados pelo INMETRO é lícito em todo o território nacional, não dispondo o município de competência para vedar a sua utilização em território municipal.</w:t>
      </w:r>
    </w:p>
    <w:p w:rsidR="00CB2BBB" w:rsidRDefault="00CB2BBB" w:rsidP="00CB2BBB">
      <w:pPr>
        <w:pStyle w:val="Textoembloco"/>
      </w:pPr>
    </w:p>
    <w:p w:rsidR="00CB2BBB" w:rsidRDefault="00CB2BBB" w:rsidP="00CB2BBB">
      <w:pPr>
        <w:pStyle w:val="Textoembloco"/>
      </w:pPr>
      <w:r>
        <w:t xml:space="preserve">A luz deste regramento, é de se considerar que a propositura viola o princípio da necessidade, na medida que se o dispositivo emite ruídos acima dos aceitáveis a atividade pode não ser ambientalmente </w:t>
      </w:r>
      <w:r>
        <w:lastRenderedPageBreak/>
        <w:t>licenciada e ser alvo de fiscalização do órgão ambiental.</w:t>
      </w:r>
    </w:p>
    <w:p w:rsidR="00CB2BBB" w:rsidRDefault="00CB2BBB" w:rsidP="00CB2BBB">
      <w:pPr>
        <w:pStyle w:val="Textoembloco"/>
      </w:pPr>
    </w:p>
    <w:p w:rsidR="00CB2BBB" w:rsidRDefault="00CB2BBB" w:rsidP="00CB2BBB">
      <w:pPr>
        <w:pStyle w:val="Textoembloco"/>
      </w:pPr>
      <w:r>
        <w:t>Acerca do princípio da necessidade vale conferir as lições de Gilmar Ferreira Mendes:</w:t>
      </w:r>
    </w:p>
    <w:p w:rsidR="00CB2BBB" w:rsidRDefault="00CB2BBB" w:rsidP="00CB2BBB">
      <w:pPr>
        <w:pStyle w:val="Textoembloco"/>
      </w:pPr>
    </w:p>
    <w:p w:rsidR="00CB2BBB" w:rsidRDefault="00CB2BBB" w:rsidP="00CB2BBB">
      <w:pPr>
        <w:pStyle w:val="Textoembloco"/>
      </w:pPr>
      <w:r>
        <w:t xml:space="preserve">"Embora a competência para editar normas, no tocante à matéria, quase não conheça limites (universalidade da atividade legislativa), a atividade legislativa é, e deve continuar sendo, uma atividade subsidiária. Significa dizer que o exercício da atividade legislativa está submetido ao princípio da necessidade, isto é, que a promulgação de leis supérfluas ou iterativas configura abuso do poder de legislar" (MENDES, Gilmar Ferreira. Teoria da Legislação e Controle de Constitucionalidade: Algumas Notas. Revista Jurídica Virtual da Presidência da República. Disponível em </w:t>
      </w:r>
      <w:hyperlink r:id="rId6" w:history="1">
        <w:r w:rsidRPr="00684445">
          <w:rPr>
            <w:rStyle w:val="Hyperlink"/>
            <w:rFonts w:cs="Arial"/>
          </w:rPr>
          <w:t>http://www.planalto.gov.br/ccivil_03/revista/Rev_01/Teoria.htm</w:t>
        </w:r>
      </w:hyperlink>
      <w:r>
        <w:t>).</w:t>
      </w:r>
    </w:p>
    <w:p w:rsidR="00CB2BBB" w:rsidRDefault="00CB2BBB" w:rsidP="00CB2BBB">
      <w:pPr>
        <w:pStyle w:val="Textoembloco"/>
      </w:pPr>
    </w:p>
    <w:p w:rsidR="00CB2BBB" w:rsidRDefault="00CB2BBB" w:rsidP="00CB2BBB">
      <w:pPr>
        <w:pStyle w:val="Textoembloco"/>
      </w:pPr>
      <w:r>
        <w:t>Por fim, o art. 4º estabelece o prazo de 60 dias contados da publicação para regulamentação da lei, tendo em vista que o poder regulamentar compete ao Chefe do Executivo municipal, quanto à impossibilidade de o Poder Legislativo estabelecer prazo certo para tomada de providências por parte do Executivo, o STF decidiu da seguinte forma:</w:t>
      </w:r>
    </w:p>
    <w:p w:rsidR="00CB2BBB" w:rsidRDefault="00CB2BBB" w:rsidP="00CB2BBB">
      <w:pPr>
        <w:pStyle w:val="Textoembloco"/>
      </w:pPr>
    </w:p>
    <w:p w:rsidR="00CB2BBB" w:rsidRDefault="00CB2BBB" w:rsidP="00CB2BBB">
      <w:pPr>
        <w:pStyle w:val="Textoembloco"/>
      </w:pPr>
      <w:r>
        <w:t>"Observe-se, ainda, que, algumas vezes, rebarbativamente (art. 84, IV), determinadas leis conferem ao Executivo autorização para a expedição de regulamento tendo em vista sua fiel execução; essa autorização apenas não será rebarbativa se, mais do que autorização, impuser ao Executivo o dever de regulamentar. No caso, no entanto, o preceito legal marca prazo para que o Executivo exerça função regulamentar de sua atribuição, o que ocorre amiúde, mas não deixa de afrontar o princípio da interdependência e harmonia entre os poderes. A</w:t>
      </w:r>
    </w:p>
    <w:p w:rsidR="00CB2BBB" w:rsidRPr="00BF04B2" w:rsidRDefault="00CB2BBB" w:rsidP="00CB2BBB">
      <w:pPr>
        <w:pStyle w:val="Textoembloco"/>
      </w:pPr>
      <w:r>
        <w:t>determinação de prazo para que o chefe do Executivo exerça função que lhe incumbe originariamente, sem que expressiva de dever de regulamentar, tenho-a por inconstitucional. Nesse sentido, veja-se a ADI 2.393, Rel. Min. Sydney Sanches, DJ de 28-3-2003,e a ADI 546, Rel. Min. Moreira Alves, DJ de 14-4-2000.3" (STF, ADI 3394, 02.04.07, Min. Eros Grau)."</w:t>
      </w:r>
    </w:p>
    <w:p w:rsidR="00F62C29" w:rsidRDefault="00F62C29" w:rsidP="00F62C2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F62C29" w:rsidRDefault="00F62C29" w:rsidP="00F62C29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Conclui o parecer:</w:t>
      </w:r>
    </w:p>
    <w:p w:rsidR="003E7278" w:rsidRDefault="003E7278" w:rsidP="003E7278">
      <w:pPr>
        <w:ind w:left="3402" w:right="-374"/>
        <w:jc w:val="both"/>
        <w:rPr>
          <w:rFonts w:ascii="Arial" w:hAnsi="Arial" w:cs="Arial"/>
          <w:sz w:val="24"/>
          <w:szCs w:val="24"/>
        </w:rPr>
      </w:pPr>
    </w:p>
    <w:p w:rsidR="00F62C29" w:rsidRDefault="00CB2BBB" w:rsidP="00CB2BBB">
      <w:pPr>
        <w:ind w:left="3402" w:right="-374"/>
        <w:jc w:val="both"/>
        <w:rPr>
          <w:rFonts w:ascii="Arial" w:hAnsi="Arial" w:cs="Arial"/>
          <w:sz w:val="24"/>
          <w:szCs w:val="24"/>
        </w:rPr>
      </w:pPr>
      <w:r w:rsidRPr="00CB2BBB">
        <w:rPr>
          <w:rFonts w:ascii="Arial" w:hAnsi="Arial" w:cs="Arial"/>
          <w:sz w:val="24"/>
          <w:szCs w:val="24"/>
        </w:rPr>
        <w:t>Em suma, tanto o projeto quanto seu substitutivo invadem</w:t>
      </w:r>
      <w:r>
        <w:rPr>
          <w:rFonts w:ascii="Arial" w:hAnsi="Arial" w:cs="Arial"/>
          <w:sz w:val="24"/>
          <w:szCs w:val="24"/>
        </w:rPr>
        <w:t xml:space="preserve"> </w:t>
      </w:r>
      <w:r w:rsidRPr="00CB2BBB">
        <w:rPr>
          <w:rFonts w:ascii="Arial" w:hAnsi="Arial" w:cs="Arial"/>
          <w:sz w:val="24"/>
          <w:szCs w:val="24"/>
        </w:rPr>
        <w:t xml:space="preserve">matéria de competência reservada à União razão pela qual não </w:t>
      </w:r>
      <w:r>
        <w:rPr>
          <w:rFonts w:ascii="Arial" w:hAnsi="Arial" w:cs="Arial"/>
          <w:sz w:val="24"/>
          <w:szCs w:val="24"/>
        </w:rPr>
        <w:t xml:space="preserve">reúnem </w:t>
      </w:r>
      <w:r w:rsidRPr="00CB2BBB">
        <w:rPr>
          <w:rFonts w:ascii="Arial" w:hAnsi="Arial" w:cs="Arial"/>
          <w:sz w:val="24"/>
          <w:szCs w:val="24"/>
        </w:rPr>
        <w:t>condições para validamente prosperar.</w:t>
      </w:r>
    </w:p>
    <w:p w:rsidR="00F62C29" w:rsidRDefault="00F62C29" w:rsidP="00F62C29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13262" w:rsidRDefault="00B13262" w:rsidP="00B13262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13262" w:rsidRDefault="00B13262" w:rsidP="00B13262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Isto posto, manifestamo-nos pela </w:t>
      </w:r>
      <w:r w:rsidRPr="00CB2BBB">
        <w:rPr>
          <w:rFonts w:ascii="Arial" w:hAnsi="Arial" w:cs="Arial"/>
          <w:b/>
          <w:sz w:val="24"/>
          <w:szCs w:val="24"/>
        </w:rPr>
        <w:t>ilegalidade</w:t>
      </w:r>
      <w:r>
        <w:rPr>
          <w:rFonts w:ascii="Arial" w:hAnsi="Arial" w:cs="Arial"/>
          <w:sz w:val="24"/>
          <w:szCs w:val="24"/>
        </w:rPr>
        <w:t xml:space="preserve"> da proposição submetida ao nosso exame.</w:t>
      </w:r>
    </w:p>
    <w:p w:rsidR="00B13262" w:rsidRDefault="00B13262" w:rsidP="00B13262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13262" w:rsidRDefault="00B13262" w:rsidP="00B13262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B13262" w:rsidRDefault="00B13262" w:rsidP="00B13262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564C26" w:rsidRDefault="00564C26" w:rsidP="00564C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Sala de reuniões das comissões, </w:t>
      </w:r>
      <w:r w:rsidR="00CB2BBB">
        <w:rPr>
          <w:rFonts w:ascii="Arial" w:hAnsi="Arial" w:cs="Arial"/>
          <w:b/>
          <w:bCs/>
          <w:sz w:val="24"/>
          <w:szCs w:val="24"/>
        </w:rPr>
        <w:t>06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CB2BBB">
        <w:rPr>
          <w:rFonts w:ascii="Arial" w:hAnsi="Arial" w:cs="Arial"/>
          <w:b/>
          <w:bCs/>
          <w:sz w:val="24"/>
          <w:szCs w:val="24"/>
        </w:rPr>
        <w:t>dezembro</w:t>
      </w:r>
      <w:r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0D29F4">
        <w:rPr>
          <w:rFonts w:ascii="Arial" w:hAnsi="Arial" w:cs="Arial"/>
          <w:b/>
          <w:bCs/>
          <w:sz w:val="24"/>
          <w:szCs w:val="24"/>
        </w:rPr>
        <w:t>16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564C26" w:rsidRDefault="00564C26" w:rsidP="00564C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C26" w:rsidRDefault="00564C26" w:rsidP="00564C26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564C26" w:rsidRDefault="00564C26" w:rsidP="00564C2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564C26" w:rsidRDefault="00564C26" w:rsidP="00564C2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3B60">
        <w:rPr>
          <w:rFonts w:ascii="Arial" w:hAnsi="Arial" w:cs="Arial"/>
          <w:b/>
          <w:sz w:val="24"/>
          <w:szCs w:val="24"/>
        </w:rPr>
        <w:t>Farmacêutico Jéferson Yashuda</w:t>
      </w:r>
    </w:p>
    <w:p w:rsidR="00564C26" w:rsidRDefault="00564C26" w:rsidP="00564C2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564C26" w:rsidRDefault="00564C26" w:rsidP="00564C2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564C26" w:rsidRPr="00533B60" w:rsidRDefault="00564C26" w:rsidP="00564C2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564C26" w:rsidRDefault="00564C26" w:rsidP="00564C2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564C26" w:rsidRDefault="00564C26" w:rsidP="00564C2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5C5E4D">
        <w:rPr>
          <w:rFonts w:ascii="Arial" w:hAnsi="Arial" w:cs="Arial"/>
          <w:b/>
          <w:sz w:val="24"/>
          <w:szCs w:val="24"/>
        </w:rPr>
        <w:t>Roberval Fraiz</w:t>
      </w:r>
    </w:p>
    <w:p w:rsidR="00564C26" w:rsidRDefault="00564C26" w:rsidP="00564C26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564C26" w:rsidRDefault="00564C26" w:rsidP="00564C26">
      <w:pPr>
        <w:ind w:left="567" w:right="-374"/>
        <w:rPr>
          <w:rFonts w:ascii="Arial" w:hAnsi="Arial" w:cs="Arial"/>
          <w:sz w:val="24"/>
          <w:szCs w:val="24"/>
        </w:rPr>
      </w:pPr>
    </w:p>
    <w:p w:rsidR="00564C26" w:rsidRDefault="00564C26" w:rsidP="00564C26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564C26" w:rsidRPr="00533B60" w:rsidRDefault="00564C26" w:rsidP="00564C26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564C26" w:rsidRDefault="00564C26" w:rsidP="00564C26">
      <w:pPr>
        <w:ind w:left="567" w:right="-374"/>
        <w:rPr>
          <w:rFonts w:ascii="Arial" w:hAnsi="Arial" w:cs="Arial"/>
          <w:sz w:val="24"/>
          <w:szCs w:val="24"/>
        </w:rPr>
      </w:pPr>
    </w:p>
    <w:p w:rsidR="00564C26" w:rsidRDefault="00564C26" w:rsidP="00564C26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</w:p>
    <w:p w:rsidR="00B13262" w:rsidRDefault="00B13262" w:rsidP="00B13262">
      <w:pPr>
        <w:ind w:left="567"/>
        <w:rPr>
          <w:rFonts w:ascii="Arial" w:hAnsi="Arial" w:cs="Arial"/>
          <w:sz w:val="16"/>
          <w:szCs w:val="16"/>
        </w:rPr>
      </w:pPr>
    </w:p>
    <w:p w:rsidR="00B13262" w:rsidRDefault="00B13262" w:rsidP="00B13262">
      <w:pPr>
        <w:ind w:left="567"/>
        <w:rPr>
          <w:rFonts w:ascii="Arial" w:hAnsi="Arial" w:cs="Arial"/>
          <w:sz w:val="16"/>
          <w:szCs w:val="16"/>
        </w:rPr>
      </w:pPr>
    </w:p>
    <w:p w:rsidR="00B13262" w:rsidRDefault="00B13262" w:rsidP="00B13262">
      <w:pPr>
        <w:ind w:left="567"/>
        <w:rPr>
          <w:rFonts w:ascii="Arial" w:hAnsi="Arial" w:cs="Arial"/>
          <w:sz w:val="16"/>
          <w:szCs w:val="16"/>
        </w:rPr>
      </w:pPr>
    </w:p>
    <w:p w:rsidR="00B13262" w:rsidRDefault="00B13262" w:rsidP="00B13262">
      <w:pPr>
        <w:ind w:left="567"/>
        <w:rPr>
          <w:rFonts w:ascii="Arial" w:hAnsi="Arial" w:cs="Arial"/>
          <w:sz w:val="16"/>
          <w:szCs w:val="16"/>
        </w:rPr>
      </w:pPr>
    </w:p>
    <w:sectPr w:rsidR="00B13262">
      <w:footerReference w:type="default" r:id="rId7"/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F58" w:rsidRDefault="009A3F58" w:rsidP="007360A2">
      <w:r>
        <w:separator/>
      </w:r>
    </w:p>
  </w:endnote>
  <w:endnote w:type="continuationSeparator" w:id="0">
    <w:p w:rsidR="009A3F58" w:rsidRDefault="009A3F58" w:rsidP="00736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A2" w:rsidRDefault="007360A2" w:rsidP="007360A2">
    <w:pPr>
      <w:pStyle w:val="Rodap"/>
      <w:pBdr>
        <w:top w:val="thinThickSmallGap" w:sz="24" w:space="1" w:color="622423" w:themeColor="accent2" w:themeShade="7F"/>
      </w:pBdr>
      <w:ind w:left="567" w:right="-374"/>
      <w:rPr>
        <w:rFonts w:asciiTheme="majorHAnsi" w:hAnsiTheme="majorHAnsi"/>
      </w:rPr>
    </w:pPr>
    <w:r>
      <w:rPr>
        <w:rFonts w:ascii="Tahoma" w:hAnsi="Tahoma" w:cs="Tahoma"/>
        <w:b/>
      </w:rPr>
      <w:t>CJLR -</w:t>
    </w:r>
    <w:r w:rsidR="00D875E9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 xml:space="preserve">Parecer nº </w:t>
    </w:r>
    <w:r w:rsidR="003D3A37">
      <w:rPr>
        <w:rFonts w:ascii="Tahoma" w:hAnsi="Tahoma" w:cs="Tahoma"/>
        <w:b/>
      </w:rPr>
      <w:t>440</w:t>
    </w:r>
    <w:r>
      <w:rPr>
        <w:rFonts w:ascii="Tahoma" w:hAnsi="Tahoma" w:cs="Tahoma"/>
        <w:b/>
      </w:rPr>
      <w:t xml:space="preserve"> /</w:t>
    </w:r>
    <w:r w:rsidR="000D29F4">
      <w:rPr>
        <w:rFonts w:ascii="Tahoma" w:hAnsi="Tahoma" w:cs="Tahoma"/>
        <w:b/>
      </w:rPr>
      <w:t>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7A513B" w:rsidRPr="007A513B">
        <w:rPr>
          <w:rFonts w:asciiTheme="majorHAnsi" w:hAnsiTheme="majorHAnsi"/>
          <w:noProof/>
        </w:rPr>
        <w:t>1</w:t>
      </w:r>
    </w:fldSimple>
  </w:p>
  <w:p w:rsidR="007360A2" w:rsidRDefault="007360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F58" w:rsidRDefault="009A3F58" w:rsidP="007360A2">
      <w:r>
        <w:separator/>
      </w:r>
    </w:p>
  </w:footnote>
  <w:footnote w:type="continuationSeparator" w:id="0">
    <w:p w:rsidR="009A3F58" w:rsidRDefault="009A3F58" w:rsidP="00736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13262"/>
    <w:rsid w:val="00006D86"/>
    <w:rsid w:val="00041AFA"/>
    <w:rsid w:val="00054884"/>
    <w:rsid w:val="000C7129"/>
    <w:rsid w:val="000D29F4"/>
    <w:rsid w:val="000D5288"/>
    <w:rsid w:val="000D61BA"/>
    <w:rsid w:val="000F21EC"/>
    <w:rsid w:val="00133E8F"/>
    <w:rsid w:val="001559F9"/>
    <w:rsid w:val="0018042E"/>
    <w:rsid w:val="00181741"/>
    <w:rsid w:val="001A6129"/>
    <w:rsid w:val="001B46E8"/>
    <w:rsid w:val="001B79C8"/>
    <w:rsid w:val="00264215"/>
    <w:rsid w:val="002A2DB6"/>
    <w:rsid w:val="002C208B"/>
    <w:rsid w:val="00347CE9"/>
    <w:rsid w:val="00355561"/>
    <w:rsid w:val="0036351E"/>
    <w:rsid w:val="003D3A37"/>
    <w:rsid w:val="003E7278"/>
    <w:rsid w:val="00423DD4"/>
    <w:rsid w:val="00426595"/>
    <w:rsid w:val="00433A22"/>
    <w:rsid w:val="004E0CD9"/>
    <w:rsid w:val="00504D58"/>
    <w:rsid w:val="005109AB"/>
    <w:rsid w:val="00516D51"/>
    <w:rsid w:val="00533B60"/>
    <w:rsid w:val="005536B8"/>
    <w:rsid w:val="00564C26"/>
    <w:rsid w:val="00593ABA"/>
    <w:rsid w:val="005B78D1"/>
    <w:rsid w:val="005C5E4D"/>
    <w:rsid w:val="00684445"/>
    <w:rsid w:val="006D6560"/>
    <w:rsid w:val="006E762B"/>
    <w:rsid w:val="007360A2"/>
    <w:rsid w:val="007554E8"/>
    <w:rsid w:val="007A513B"/>
    <w:rsid w:val="007C051A"/>
    <w:rsid w:val="007C5673"/>
    <w:rsid w:val="00863A76"/>
    <w:rsid w:val="00867F5E"/>
    <w:rsid w:val="008B0A99"/>
    <w:rsid w:val="008B1CD5"/>
    <w:rsid w:val="008D28F1"/>
    <w:rsid w:val="009215C2"/>
    <w:rsid w:val="009874CB"/>
    <w:rsid w:val="00997DB8"/>
    <w:rsid w:val="009A3F58"/>
    <w:rsid w:val="009D2B4F"/>
    <w:rsid w:val="00A047A0"/>
    <w:rsid w:val="00A270E0"/>
    <w:rsid w:val="00A36985"/>
    <w:rsid w:val="00A811A8"/>
    <w:rsid w:val="00AC0AE9"/>
    <w:rsid w:val="00B13262"/>
    <w:rsid w:val="00B66A92"/>
    <w:rsid w:val="00BD6752"/>
    <w:rsid w:val="00BF04B2"/>
    <w:rsid w:val="00C107DC"/>
    <w:rsid w:val="00CA184A"/>
    <w:rsid w:val="00CB2BBB"/>
    <w:rsid w:val="00CC0704"/>
    <w:rsid w:val="00CD537E"/>
    <w:rsid w:val="00D875E9"/>
    <w:rsid w:val="00D8778E"/>
    <w:rsid w:val="00D96E0C"/>
    <w:rsid w:val="00DC4F5A"/>
    <w:rsid w:val="00E40293"/>
    <w:rsid w:val="00E43268"/>
    <w:rsid w:val="00E8101C"/>
    <w:rsid w:val="00EB6269"/>
    <w:rsid w:val="00EE3C1E"/>
    <w:rsid w:val="00F250F4"/>
    <w:rsid w:val="00F62C29"/>
    <w:rsid w:val="00F71834"/>
    <w:rsid w:val="00F8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uiPriority w:val="99"/>
    <w:rsid w:val="00B13262"/>
    <w:pPr>
      <w:ind w:left="3402" w:right="-374"/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B13262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423D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60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360A2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360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360A2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60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60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74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revista/Rev_01/Teoria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7058</Characters>
  <Application>Microsoft Office Word</Application>
  <DocSecurity>0</DocSecurity>
  <Lines>58</Lines>
  <Paragraphs>16</Paragraphs>
  <ScaleCrop>false</ScaleCrop>
  <Company>Camara Municipal Araraquara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2016-12-06T18:54:00Z</cp:lastPrinted>
  <dcterms:created xsi:type="dcterms:W3CDTF">2016-12-15T14:16:00Z</dcterms:created>
  <dcterms:modified xsi:type="dcterms:W3CDTF">2016-12-15T14:16:00Z</dcterms:modified>
</cp:coreProperties>
</file>