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3B2" w:rsidRDefault="00BF1494" w:rsidP="00D47EAB">
      <w:pPr>
        <w:jc w:val="center"/>
        <w:rPr>
          <w:b/>
          <w:sz w:val="36"/>
        </w:rPr>
      </w:pPr>
      <w:r>
        <w:rPr>
          <w:b/>
          <w:noProof/>
          <w:sz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5.75pt;margin-top:-34.85pt;width:86.4pt;height:86.4pt;z-index:-1" o:allowincell="f">
            <v:imagedata r:id="rId6" o:title="brasaoJPG"/>
          </v:shape>
        </w:pict>
      </w:r>
    </w:p>
    <w:p w:rsidR="000553B2" w:rsidRDefault="000553B2" w:rsidP="00D47EAB">
      <w:pPr>
        <w:jc w:val="center"/>
        <w:rPr>
          <w:b/>
          <w:sz w:val="36"/>
        </w:rPr>
      </w:pPr>
    </w:p>
    <w:p w:rsidR="000553B2" w:rsidRDefault="000553B2" w:rsidP="00D47EAB">
      <w:pPr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493DC0">
        <w:rPr>
          <w:rFonts w:ascii="Tahoma" w:hAnsi="Tahoma" w:cs="Tahoma"/>
          <w:b/>
          <w:sz w:val="32"/>
          <w:szCs w:val="32"/>
          <w:u w:val="single"/>
        </w:rPr>
        <w:t>22</w:t>
      </w:r>
      <w:r w:rsidR="00171C3E">
        <w:rPr>
          <w:rFonts w:ascii="Tahoma" w:hAnsi="Tahoma" w:cs="Tahoma"/>
          <w:b/>
          <w:sz w:val="32"/>
          <w:szCs w:val="32"/>
          <w:u w:val="single"/>
        </w:rPr>
        <w:t>1</w:t>
      </w:r>
      <w:r w:rsidR="00364D92">
        <w:rPr>
          <w:rFonts w:ascii="Tahoma" w:hAnsi="Tahoma" w:cs="Tahoma"/>
          <w:b/>
          <w:sz w:val="32"/>
          <w:szCs w:val="32"/>
          <w:u w:val="single"/>
        </w:rPr>
        <w:t>/1</w:t>
      </w:r>
      <w:r w:rsidR="00D60AC5">
        <w:rPr>
          <w:rFonts w:ascii="Tahoma" w:hAnsi="Tahoma" w:cs="Tahoma"/>
          <w:b/>
          <w:sz w:val="32"/>
          <w:szCs w:val="32"/>
          <w:u w:val="single"/>
        </w:rPr>
        <w:t>6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493DC0">
        <w:rPr>
          <w:rFonts w:ascii="Tahoma" w:hAnsi="Tahoma" w:cs="Tahoma"/>
          <w:b/>
          <w:sz w:val="32"/>
          <w:szCs w:val="32"/>
          <w:u w:val="single"/>
        </w:rPr>
        <w:t>220</w:t>
      </w:r>
      <w:r w:rsidRPr="00D47EAB">
        <w:rPr>
          <w:rFonts w:ascii="Tahoma" w:hAnsi="Tahoma" w:cs="Tahoma"/>
          <w:b/>
          <w:sz w:val="32"/>
          <w:szCs w:val="32"/>
          <w:u w:val="single"/>
        </w:rPr>
        <w:t>/1</w:t>
      </w:r>
      <w:r w:rsidR="00A10D33">
        <w:rPr>
          <w:rFonts w:ascii="Tahoma" w:hAnsi="Tahoma" w:cs="Tahoma"/>
          <w:b/>
          <w:sz w:val="32"/>
          <w:szCs w:val="32"/>
          <w:u w:val="single"/>
        </w:rPr>
        <w:t>6</w:t>
      </w:r>
    </w:p>
    <w:p w:rsidR="00493DC0" w:rsidRPr="00493DC0" w:rsidRDefault="00493DC0" w:rsidP="00D47EAB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INICIATIVA: VEREADOR RODRIGO MARTINS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493DC0" w:rsidP="00D80A79">
      <w:pPr>
        <w:ind w:left="4536"/>
        <w:jc w:val="both"/>
        <w:rPr>
          <w:rFonts w:ascii="Calibri" w:hAnsi="Calibri" w:cs="Calibri"/>
          <w:sz w:val="22"/>
          <w:szCs w:val="22"/>
        </w:rPr>
      </w:pPr>
      <w:r w:rsidRPr="00493DC0">
        <w:rPr>
          <w:rFonts w:ascii="Calibri" w:hAnsi="Calibri" w:cs="Calibri"/>
          <w:sz w:val="22"/>
          <w:szCs w:val="22"/>
        </w:rPr>
        <w:t>Altera a Lei nº 8.821, de 11 de novembro de 2016.</w:t>
      </w:r>
    </w:p>
    <w:p w:rsidR="003A3A7C" w:rsidRDefault="003A3A7C" w:rsidP="00767922">
      <w:pPr>
        <w:ind w:firstLine="2835"/>
        <w:jc w:val="both"/>
        <w:rPr>
          <w:rFonts w:ascii="Calibri" w:hAnsi="Calibri" w:cs="Calibri"/>
          <w:sz w:val="22"/>
          <w:szCs w:val="22"/>
        </w:rPr>
      </w:pPr>
    </w:p>
    <w:p w:rsidR="00877F8D" w:rsidRPr="00032DD1" w:rsidRDefault="00877F8D" w:rsidP="00767922">
      <w:pPr>
        <w:ind w:firstLine="2835"/>
        <w:jc w:val="both"/>
        <w:rPr>
          <w:rFonts w:ascii="Calibri" w:hAnsi="Calibri" w:cs="Calibri"/>
          <w:sz w:val="22"/>
          <w:szCs w:val="22"/>
        </w:rPr>
      </w:pPr>
    </w:p>
    <w:p w:rsidR="00493DC0" w:rsidRPr="00493DC0" w:rsidRDefault="00493DC0" w:rsidP="00CD0985">
      <w:pPr>
        <w:ind w:firstLine="2268"/>
        <w:jc w:val="both"/>
        <w:rPr>
          <w:rFonts w:ascii="Calibri" w:hAnsi="Calibri" w:cs="Calibri"/>
          <w:sz w:val="24"/>
          <w:szCs w:val="24"/>
        </w:rPr>
      </w:pPr>
      <w:r w:rsidRPr="00493DC0">
        <w:rPr>
          <w:rFonts w:ascii="Calibri" w:hAnsi="Calibri" w:cs="Calibri"/>
          <w:sz w:val="24"/>
          <w:szCs w:val="24"/>
        </w:rPr>
        <w:t>Art. 1º A ementa da Lei nº 8.821, de 11 de novembro de 2016, passa a vigorar com a seguinte redação:</w:t>
      </w:r>
    </w:p>
    <w:p w:rsidR="00493DC0" w:rsidRPr="00493DC0" w:rsidRDefault="00493DC0" w:rsidP="00493DC0">
      <w:pPr>
        <w:ind w:firstLine="2835"/>
        <w:jc w:val="both"/>
        <w:rPr>
          <w:rFonts w:ascii="Calibri" w:hAnsi="Calibri" w:cs="Calibri"/>
          <w:sz w:val="24"/>
          <w:szCs w:val="24"/>
        </w:rPr>
      </w:pPr>
    </w:p>
    <w:p w:rsidR="00493DC0" w:rsidRPr="00493DC0" w:rsidRDefault="00493DC0" w:rsidP="00CD0985">
      <w:pPr>
        <w:ind w:left="2268"/>
        <w:jc w:val="both"/>
        <w:rPr>
          <w:rFonts w:ascii="Calibri" w:hAnsi="Calibri" w:cs="Calibri"/>
          <w:sz w:val="24"/>
          <w:szCs w:val="24"/>
        </w:rPr>
      </w:pPr>
      <w:r w:rsidRPr="00493DC0">
        <w:rPr>
          <w:rFonts w:ascii="Calibri" w:hAnsi="Calibri" w:cs="Calibri"/>
          <w:sz w:val="24"/>
          <w:szCs w:val="24"/>
        </w:rPr>
        <w:t>“Dispõe sobre o tempo de atendimento ao consumidor nas agências bancárias, casas lotéricas, correspondentes bancários e similares do Município de Araraquara e dá outras providências.” (NR)</w:t>
      </w:r>
    </w:p>
    <w:p w:rsidR="00493DC0" w:rsidRPr="00493DC0" w:rsidRDefault="00493DC0" w:rsidP="00493DC0">
      <w:pPr>
        <w:ind w:firstLine="2835"/>
        <w:jc w:val="both"/>
        <w:rPr>
          <w:rFonts w:ascii="Calibri" w:hAnsi="Calibri" w:cs="Calibri"/>
          <w:sz w:val="24"/>
          <w:szCs w:val="24"/>
        </w:rPr>
      </w:pPr>
    </w:p>
    <w:p w:rsidR="00493DC0" w:rsidRPr="00493DC0" w:rsidRDefault="00493DC0" w:rsidP="00CD0985">
      <w:pPr>
        <w:ind w:firstLine="2268"/>
        <w:jc w:val="both"/>
        <w:rPr>
          <w:rFonts w:ascii="Calibri" w:hAnsi="Calibri" w:cs="Calibri"/>
          <w:sz w:val="24"/>
          <w:szCs w:val="24"/>
        </w:rPr>
      </w:pPr>
      <w:r w:rsidRPr="00493DC0">
        <w:rPr>
          <w:rFonts w:ascii="Calibri" w:hAnsi="Calibri" w:cs="Calibri"/>
          <w:sz w:val="24"/>
          <w:szCs w:val="24"/>
        </w:rPr>
        <w:t>Art. 2º A Lei nº 8.821, de 11 de novembro de 2016, passa a vigorar com as seguintes alterações:</w:t>
      </w:r>
    </w:p>
    <w:p w:rsidR="00493DC0" w:rsidRPr="00493DC0" w:rsidRDefault="00493DC0" w:rsidP="00493DC0">
      <w:pPr>
        <w:ind w:firstLine="2835"/>
        <w:jc w:val="both"/>
        <w:rPr>
          <w:rFonts w:ascii="Calibri" w:hAnsi="Calibri" w:cs="Calibri"/>
          <w:sz w:val="24"/>
          <w:szCs w:val="24"/>
        </w:rPr>
      </w:pPr>
    </w:p>
    <w:p w:rsidR="00493DC0" w:rsidRPr="00493DC0" w:rsidRDefault="00493DC0" w:rsidP="00CD0985">
      <w:pPr>
        <w:tabs>
          <w:tab w:val="left" w:pos="2835"/>
        </w:tabs>
        <w:ind w:left="2268"/>
        <w:jc w:val="both"/>
        <w:rPr>
          <w:rFonts w:ascii="Calibri" w:hAnsi="Calibri" w:cs="Calibri"/>
          <w:sz w:val="24"/>
          <w:szCs w:val="24"/>
        </w:rPr>
      </w:pPr>
      <w:r w:rsidRPr="00493DC0">
        <w:rPr>
          <w:rFonts w:ascii="Calibri" w:hAnsi="Calibri" w:cs="Calibri"/>
          <w:sz w:val="24"/>
          <w:szCs w:val="24"/>
        </w:rPr>
        <w:tab/>
        <w:t>“Art. 1º As agências bancárias, casas lotéricas, correspondentes bancários e similares instaladas no Município ficam obrigadas a manter, em seus estabelecimentos, funcionários em número compatível com o fluxo de usuários, de modo a permitir que cada um destes seja atendido no tempo máximo determinado por esta lei.</w:t>
      </w:r>
    </w:p>
    <w:p w:rsidR="00493DC0" w:rsidRPr="00493DC0" w:rsidRDefault="00493DC0" w:rsidP="00CD0985">
      <w:pPr>
        <w:tabs>
          <w:tab w:val="left" w:pos="2835"/>
        </w:tabs>
        <w:ind w:left="2268"/>
        <w:jc w:val="both"/>
        <w:rPr>
          <w:rFonts w:ascii="Calibri" w:hAnsi="Calibri" w:cs="Calibri"/>
          <w:sz w:val="24"/>
          <w:szCs w:val="24"/>
        </w:rPr>
      </w:pPr>
    </w:p>
    <w:p w:rsidR="00493DC0" w:rsidRPr="00493DC0" w:rsidRDefault="00493DC0" w:rsidP="00CD0985">
      <w:pPr>
        <w:tabs>
          <w:tab w:val="left" w:pos="2835"/>
        </w:tabs>
        <w:ind w:left="2268"/>
        <w:jc w:val="both"/>
        <w:rPr>
          <w:rFonts w:ascii="Calibri" w:hAnsi="Calibri" w:cs="Calibri"/>
          <w:sz w:val="24"/>
          <w:szCs w:val="24"/>
        </w:rPr>
      </w:pPr>
      <w:r w:rsidRPr="00493DC0">
        <w:rPr>
          <w:rFonts w:ascii="Calibri" w:hAnsi="Calibri" w:cs="Calibri"/>
          <w:sz w:val="24"/>
          <w:szCs w:val="24"/>
        </w:rPr>
        <w:tab/>
        <w:t>Art. 2º O tempo máximo de espera até o atendimento, para os fins desta lei será:</w:t>
      </w:r>
    </w:p>
    <w:p w:rsidR="00493DC0" w:rsidRPr="00493DC0" w:rsidRDefault="00493DC0" w:rsidP="00CD0985">
      <w:pPr>
        <w:tabs>
          <w:tab w:val="left" w:pos="2835"/>
        </w:tabs>
        <w:ind w:left="2268"/>
        <w:jc w:val="both"/>
        <w:rPr>
          <w:rFonts w:ascii="Calibri" w:hAnsi="Calibri" w:cs="Calibri"/>
          <w:sz w:val="24"/>
          <w:szCs w:val="24"/>
        </w:rPr>
      </w:pPr>
      <w:r w:rsidRPr="00493DC0">
        <w:rPr>
          <w:rFonts w:ascii="Calibri" w:hAnsi="Calibri" w:cs="Calibri"/>
          <w:sz w:val="24"/>
          <w:szCs w:val="24"/>
        </w:rPr>
        <w:tab/>
        <w:t>.......................................</w:t>
      </w:r>
    </w:p>
    <w:p w:rsidR="00493DC0" w:rsidRPr="00493DC0" w:rsidRDefault="00493DC0" w:rsidP="00CD0985">
      <w:pPr>
        <w:tabs>
          <w:tab w:val="left" w:pos="2835"/>
        </w:tabs>
        <w:ind w:left="2268"/>
        <w:jc w:val="both"/>
        <w:rPr>
          <w:rFonts w:ascii="Calibri" w:hAnsi="Calibri" w:cs="Calibri"/>
          <w:sz w:val="24"/>
          <w:szCs w:val="24"/>
        </w:rPr>
      </w:pPr>
    </w:p>
    <w:p w:rsidR="00493DC0" w:rsidRPr="00493DC0" w:rsidRDefault="00493DC0" w:rsidP="00CD0985">
      <w:pPr>
        <w:tabs>
          <w:tab w:val="left" w:pos="2835"/>
        </w:tabs>
        <w:ind w:left="2268"/>
        <w:jc w:val="both"/>
        <w:rPr>
          <w:rFonts w:ascii="Calibri" w:hAnsi="Calibri" w:cs="Calibri"/>
          <w:sz w:val="24"/>
          <w:szCs w:val="24"/>
        </w:rPr>
      </w:pPr>
      <w:r w:rsidRPr="00493DC0">
        <w:rPr>
          <w:rFonts w:ascii="Calibri" w:hAnsi="Calibri" w:cs="Calibri"/>
          <w:sz w:val="24"/>
          <w:szCs w:val="24"/>
        </w:rPr>
        <w:tab/>
        <w:t>Art. 6º ...........................</w:t>
      </w:r>
    </w:p>
    <w:p w:rsidR="00493DC0" w:rsidRPr="00493DC0" w:rsidRDefault="00493DC0" w:rsidP="00CD0985">
      <w:pPr>
        <w:tabs>
          <w:tab w:val="left" w:pos="2835"/>
        </w:tabs>
        <w:ind w:left="2268"/>
        <w:jc w:val="both"/>
        <w:rPr>
          <w:rFonts w:ascii="Calibri" w:hAnsi="Calibri" w:cs="Calibri"/>
          <w:sz w:val="24"/>
          <w:szCs w:val="24"/>
        </w:rPr>
      </w:pPr>
      <w:r w:rsidRPr="00493DC0">
        <w:rPr>
          <w:rFonts w:ascii="Calibri" w:hAnsi="Calibri" w:cs="Calibri"/>
          <w:sz w:val="24"/>
          <w:szCs w:val="24"/>
        </w:rPr>
        <w:tab/>
        <w:t>.......................................</w:t>
      </w:r>
    </w:p>
    <w:p w:rsidR="00493DC0" w:rsidRPr="00493DC0" w:rsidRDefault="00493DC0" w:rsidP="00CD0985">
      <w:pPr>
        <w:tabs>
          <w:tab w:val="left" w:pos="2835"/>
        </w:tabs>
        <w:ind w:left="2268"/>
        <w:jc w:val="both"/>
        <w:rPr>
          <w:rFonts w:ascii="Calibri" w:hAnsi="Calibri" w:cs="Calibri"/>
          <w:sz w:val="24"/>
          <w:szCs w:val="24"/>
        </w:rPr>
      </w:pPr>
    </w:p>
    <w:p w:rsidR="00493DC0" w:rsidRPr="00493DC0" w:rsidRDefault="00493DC0" w:rsidP="00CD0985">
      <w:pPr>
        <w:tabs>
          <w:tab w:val="left" w:pos="2835"/>
        </w:tabs>
        <w:ind w:left="2268"/>
        <w:jc w:val="both"/>
        <w:rPr>
          <w:rFonts w:ascii="Calibri" w:hAnsi="Calibri" w:cs="Calibri"/>
          <w:sz w:val="24"/>
          <w:szCs w:val="24"/>
        </w:rPr>
      </w:pPr>
      <w:r w:rsidRPr="00493DC0">
        <w:rPr>
          <w:rFonts w:ascii="Calibri" w:hAnsi="Calibri" w:cs="Calibri"/>
          <w:sz w:val="24"/>
          <w:szCs w:val="24"/>
        </w:rPr>
        <w:tab/>
        <w:t>II. Multa de 50 UFMs (cinquenta Unidades Fiscais Municipais) por usuário prejudicado.</w:t>
      </w:r>
    </w:p>
    <w:p w:rsidR="00493DC0" w:rsidRPr="00493DC0" w:rsidRDefault="00493DC0" w:rsidP="00CD0985">
      <w:pPr>
        <w:tabs>
          <w:tab w:val="left" w:pos="2835"/>
        </w:tabs>
        <w:ind w:left="2268"/>
        <w:jc w:val="both"/>
        <w:rPr>
          <w:rFonts w:ascii="Calibri" w:hAnsi="Calibri" w:cs="Calibri"/>
          <w:sz w:val="24"/>
          <w:szCs w:val="24"/>
        </w:rPr>
      </w:pPr>
    </w:p>
    <w:p w:rsidR="00493DC0" w:rsidRPr="00493DC0" w:rsidRDefault="00493DC0" w:rsidP="00CD0985">
      <w:pPr>
        <w:tabs>
          <w:tab w:val="left" w:pos="2835"/>
        </w:tabs>
        <w:ind w:left="2268"/>
        <w:jc w:val="both"/>
        <w:rPr>
          <w:rFonts w:ascii="Calibri" w:hAnsi="Calibri" w:cs="Calibri"/>
          <w:sz w:val="24"/>
          <w:szCs w:val="24"/>
        </w:rPr>
      </w:pPr>
      <w:r w:rsidRPr="00493DC0">
        <w:rPr>
          <w:rFonts w:ascii="Calibri" w:hAnsi="Calibri" w:cs="Calibri"/>
          <w:sz w:val="24"/>
          <w:szCs w:val="24"/>
        </w:rPr>
        <w:tab/>
        <w:t>Parágrafo único. A pena prevista no inciso II deste artigo será dobrada a cada reincidência na hipótese de infração ao disposto no art. 2º desta lei.</w:t>
      </w:r>
    </w:p>
    <w:p w:rsidR="00493DC0" w:rsidRPr="00493DC0" w:rsidRDefault="00493DC0" w:rsidP="00CD0985">
      <w:pPr>
        <w:tabs>
          <w:tab w:val="left" w:pos="2835"/>
        </w:tabs>
        <w:ind w:left="2268"/>
        <w:jc w:val="both"/>
        <w:rPr>
          <w:rFonts w:ascii="Calibri" w:hAnsi="Calibri" w:cs="Calibri"/>
          <w:sz w:val="24"/>
          <w:szCs w:val="24"/>
        </w:rPr>
      </w:pPr>
      <w:r w:rsidRPr="00493DC0">
        <w:rPr>
          <w:rFonts w:ascii="Calibri" w:hAnsi="Calibri" w:cs="Calibri"/>
          <w:sz w:val="24"/>
          <w:szCs w:val="24"/>
        </w:rPr>
        <w:tab/>
        <w:t>.......................................</w:t>
      </w:r>
    </w:p>
    <w:p w:rsidR="00493DC0" w:rsidRPr="00493DC0" w:rsidRDefault="00493DC0" w:rsidP="00CD0985">
      <w:pPr>
        <w:tabs>
          <w:tab w:val="left" w:pos="2835"/>
        </w:tabs>
        <w:ind w:left="2268"/>
        <w:jc w:val="both"/>
        <w:rPr>
          <w:rFonts w:ascii="Calibri" w:hAnsi="Calibri" w:cs="Calibri"/>
          <w:sz w:val="24"/>
          <w:szCs w:val="24"/>
        </w:rPr>
      </w:pPr>
    </w:p>
    <w:p w:rsidR="00493DC0" w:rsidRPr="00493DC0" w:rsidRDefault="00493DC0" w:rsidP="00CD0985">
      <w:pPr>
        <w:tabs>
          <w:tab w:val="left" w:pos="2835"/>
        </w:tabs>
        <w:ind w:left="2268"/>
        <w:jc w:val="both"/>
        <w:rPr>
          <w:rFonts w:ascii="Calibri" w:hAnsi="Calibri" w:cs="Calibri"/>
          <w:sz w:val="24"/>
          <w:szCs w:val="24"/>
        </w:rPr>
      </w:pPr>
      <w:r w:rsidRPr="00493DC0">
        <w:rPr>
          <w:rFonts w:ascii="Calibri" w:hAnsi="Calibri" w:cs="Calibri"/>
          <w:sz w:val="24"/>
          <w:szCs w:val="24"/>
        </w:rPr>
        <w:tab/>
        <w:t>Art. 7º-A Ficam revogados a Lei nº 6.188, de 10 de setembro de 2004, e o Decreto nº 8.209, de 10 de dezembro de 2004.</w:t>
      </w:r>
    </w:p>
    <w:p w:rsidR="00493DC0" w:rsidRPr="00493DC0" w:rsidRDefault="00493DC0" w:rsidP="00CD0985">
      <w:pPr>
        <w:tabs>
          <w:tab w:val="left" w:pos="2835"/>
        </w:tabs>
        <w:ind w:left="2268"/>
        <w:jc w:val="both"/>
        <w:rPr>
          <w:rFonts w:ascii="Calibri" w:hAnsi="Calibri" w:cs="Calibri"/>
          <w:sz w:val="24"/>
          <w:szCs w:val="24"/>
        </w:rPr>
      </w:pPr>
    </w:p>
    <w:p w:rsidR="00493DC0" w:rsidRPr="00493DC0" w:rsidRDefault="00493DC0" w:rsidP="00CD0985">
      <w:pPr>
        <w:tabs>
          <w:tab w:val="left" w:pos="2835"/>
        </w:tabs>
        <w:ind w:left="2268"/>
        <w:jc w:val="both"/>
        <w:rPr>
          <w:rFonts w:ascii="Calibri" w:hAnsi="Calibri" w:cs="Calibri"/>
          <w:sz w:val="24"/>
          <w:szCs w:val="24"/>
        </w:rPr>
      </w:pPr>
      <w:r w:rsidRPr="00493DC0">
        <w:rPr>
          <w:rFonts w:ascii="Calibri" w:hAnsi="Calibri" w:cs="Calibri"/>
          <w:sz w:val="24"/>
          <w:szCs w:val="24"/>
        </w:rPr>
        <w:tab/>
        <w:t>Art. 8º Esta lei entra em vigor na data de sua publicação.” (NR)</w:t>
      </w:r>
    </w:p>
    <w:p w:rsidR="00493DC0" w:rsidRPr="00493DC0" w:rsidRDefault="00493DC0" w:rsidP="00493DC0">
      <w:pPr>
        <w:ind w:firstLine="2835"/>
        <w:jc w:val="both"/>
        <w:rPr>
          <w:rFonts w:ascii="Calibri" w:hAnsi="Calibri" w:cs="Calibri"/>
          <w:sz w:val="24"/>
          <w:szCs w:val="24"/>
        </w:rPr>
      </w:pPr>
    </w:p>
    <w:p w:rsidR="00032DD1" w:rsidRDefault="00493DC0" w:rsidP="00CD0985">
      <w:pPr>
        <w:ind w:firstLine="2268"/>
        <w:jc w:val="both"/>
        <w:rPr>
          <w:rFonts w:ascii="Calibri" w:hAnsi="Calibri" w:cs="Calibri"/>
          <w:sz w:val="24"/>
          <w:szCs w:val="24"/>
        </w:rPr>
      </w:pPr>
      <w:r w:rsidRPr="00493DC0">
        <w:rPr>
          <w:rFonts w:ascii="Calibri" w:hAnsi="Calibri" w:cs="Calibri"/>
          <w:sz w:val="24"/>
          <w:szCs w:val="24"/>
        </w:rPr>
        <w:lastRenderedPageBreak/>
        <w:t>Art. 3º Esta lei entra em vigor na data de sua publicação.</w:t>
      </w:r>
    </w:p>
    <w:p w:rsidR="006D45F8" w:rsidRPr="00BB48C7" w:rsidRDefault="006D45F8" w:rsidP="00CD0985">
      <w:pPr>
        <w:ind w:firstLine="2268"/>
        <w:jc w:val="both"/>
        <w:rPr>
          <w:rFonts w:ascii="Calibri" w:hAnsi="Calibri" w:cs="Calibri"/>
          <w:sz w:val="24"/>
          <w:szCs w:val="24"/>
        </w:rPr>
      </w:pPr>
    </w:p>
    <w:p w:rsidR="00162273" w:rsidRPr="008A09C8" w:rsidRDefault="00162273" w:rsidP="00CD0985">
      <w:pPr>
        <w:ind w:firstLine="2268"/>
        <w:jc w:val="both"/>
        <w:rPr>
          <w:rFonts w:ascii="Calibri" w:hAnsi="Calibri" w:cs="Calibri"/>
          <w:sz w:val="24"/>
          <w:szCs w:val="24"/>
        </w:rPr>
      </w:pPr>
      <w:r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A90517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CD351E">
        <w:rPr>
          <w:rFonts w:ascii="Calibri" w:hAnsi="Calibri" w:cs="Calibri"/>
          <w:sz w:val="24"/>
          <w:szCs w:val="24"/>
        </w:rPr>
        <w:t>3</w:t>
      </w:r>
      <w:r w:rsidR="00E735ED">
        <w:rPr>
          <w:rFonts w:ascii="Calibri" w:hAnsi="Calibri" w:cs="Calibri"/>
          <w:sz w:val="24"/>
          <w:szCs w:val="24"/>
        </w:rPr>
        <w:t>0</w:t>
      </w:r>
      <w:r w:rsidR="00C62685">
        <w:rPr>
          <w:rFonts w:ascii="Calibri" w:hAnsi="Calibri" w:cs="Calibri"/>
          <w:sz w:val="24"/>
          <w:szCs w:val="24"/>
        </w:rPr>
        <w:t xml:space="preserve"> (</w:t>
      </w:r>
      <w:r w:rsidR="00CD351E">
        <w:rPr>
          <w:rFonts w:ascii="Calibri" w:hAnsi="Calibri" w:cs="Calibri"/>
          <w:sz w:val="24"/>
          <w:szCs w:val="24"/>
        </w:rPr>
        <w:t>tr</w:t>
      </w:r>
      <w:bookmarkStart w:id="0" w:name="_GoBack"/>
      <w:bookmarkEnd w:id="0"/>
      <w:r w:rsidR="00E735ED">
        <w:rPr>
          <w:rFonts w:ascii="Calibri" w:hAnsi="Calibri" w:cs="Calibri"/>
          <w:sz w:val="24"/>
          <w:szCs w:val="24"/>
        </w:rPr>
        <w:t>inta</w:t>
      </w:r>
      <w:r w:rsidR="005B6589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A90517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236EDA">
        <w:rPr>
          <w:rFonts w:ascii="Calibri" w:hAnsi="Calibri" w:cs="Calibri"/>
          <w:sz w:val="24"/>
          <w:szCs w:val="24"/>
        </w:rPr>
        <w:t xml:space="preserve">novembro </w:t>
      </w:r>
      <w:r w:rsidR="008A09C8" w:rsidRPr="008A09C8">
        <w:rPr>
          <w:rFonts w:ascii="Calibri" w:hAnsi="Calibri" w:cs="Calibri"/>
          <w:sz w:val="24"/>
          <w:szCs w:val="24"/>
        </w:rPr>
        <w:t>do ano de 2016 (dois mil e dezesseis)</w:t>
      </w:r>
      <w:r w:rsidRPr="008A09C8">
        <w:rPr>
          <w:rFonts w:ascii="Calibri" w:hAnsi="Calibri" w:cs="Calibri"/>
          <w:sz w:val="24"/>
          <w:szCs w:val="24"/>
        </w:rPr>
        <w:t>.</w:t>
      </w:r>
    </w:p>
    <w:p w:rsidR="005A56CA" w:rsidRPr="00BB48C7" w:rsidRDefault="005A56CA" w:rsidP="00D47EAB">
      <w:pPr>
        <w:ind w:firstLine="2835"/>
        <w:jc w:val="both"/>
        <w:rPr>
          <w:rFonts w:ascii="Calibri" w:hAnsi="Calibri" w:cs="Calibri"/>
          <w:sz w:val="24"/>
          <w:szCs w:val="24"/>
        </w:rPr>
      </w:pPr>
    </w:p>
    <w:p w:rsidR="005A56CA" w:rsidRPr="00BB48C7" w:rsidRDefault="005A56CA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783E4F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ELIAS CHEDIEK</w:t>
      </w:r>
    </w:p>
    <w:p w:rsidR="005A56CA" w:rsidRPr="00BB48C7" w:rsidRDefault="001A21F4" w:rsidP="00D47EAB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p w:rsidR="00603973" w:rsidRPr="00603973" w:rsidRDefault="00F72148" w:rsidP="00D47EAB">
      <w:pPr>
        <w:rPr>
          <w:sz w:val="16"/>
        </w:rPr>
      </w:pPr>
      <w:r>
        <w:rPr>
          <w:sz w:val="16"/>
        </w:rPr>
        <w:t>dlom</w:t>
      </w:r>
    </w:p>
    <w:sectPr w:rsidR="00603973" w:rsidRPr="00603973" w:rsidSect="000553B2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58FE" w:rsidRDefault="00CE58FE">
      <w:r>
        <w:separator/>
      </w:r>
    </w:p>
  </w:endnote>
  <w:endnote w:type="continuationSeparator" w:id="0">
    <w:p w:rsidR="00CE58FE" w:rsidRDefault="00CE58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312" w:rsidRDefault="00022312">
    <w:pPr>
      <w:pStyle w:val="Rodap"/>
      <w:framePr w:wrap="auto" w:vAnchor="text" w:hAnchor="margin" w:xAlign="center" w:y="1"/>
      <w:rPr>
        <w:rStyle w:val="Nmerodepgina"/>
      </w:rPr>
    </w:pPr>
  </w:p>
  <w:p w:rsidR="00022312" w:rsidRDefault="00022312">
    <w:pPr>
      <w:pStyle w:val="Rodap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58FE" w:rsidRDefault="00CE58FE">
      <w:r>
        <w:separator/>
      </w:r>
    </w:p>
  </w:footnote>
  <w:footnote w:type="continuationSeparator" w:id="0">
    <w:p w:rsidR="00CE58FE" w:rsidRDefault="00CE58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312" w:rsidRDefault="00BF1494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1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312" w:rsidRDefault="00BF1494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stylePaneFormatFilter w:val="3F01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1B2C"/>
    <w:rsid w:val="00010F8C"/>
    <w:rsid w:val="00015703"/>
    <w:rsid w:val="00022312"/>
    <w:rsid w:val="00032DD1"/>
    <w:rsid w:val="000357C0"/>
    <w:rsid w:val="00045E2D"/>
    <w:rsid w:val="000553B2"/>
    <w:rsid w:val="0006545D"/>
    <w:rsid w:val="00073ED7"/>
    <w:rsid w:val="0007602B"/>
    <w:rsid w:val="00087DD8"/>
    <w:rsid w:val="00093B8E"/>
    <w:rsid w:val="00093EA8"/>
    <w:rsid w:val="000C27F3"/>
    <w:rsid w:val="000C7B0C"/>
    <w:rsid w:val="000C7B3D"/>
    <w:rsid w:val="000D2744"/>
    <w:rsid w:val="000E20FC"/>
    <w:rsid w:val="001007DA"/>
    <w:rsid w:val="00101445"/>
    <w:rsid w:val="00101470"/>
    <w:rsid w:val="0010321A"/>
    <w:rsid w:val="00110847"/>
    <w:rsid w:val="00127FE1"/>
    <w:rsid w:val="001303C4"/>
    <w:rsid w:val="001503A3"/>
    <w:rsid w:val="00152CD0"/>
    <w:rsid w:val="00153948"/>
    <w:rsid w:val="00161181"/>
    <w:rsid w:val="00162273"/>
    <w:rsid w:val="00171C3E"/>
    <w:rsid w:val="00173D1D"/>
    <w:rsid w:val="00187CE4"/>
    <w:rsid w:val="0019062F"/>
    <w:rsid w:val="001937E3"/>
    <w:rsid w:val="001A21F4"/>
    <w:rsid w:val="001A732B"/>
    <w:rsid w:val="001C12D1"/>
    <w:rsid w:val="001C6786"/>
    <w:rsid w:val="001D4C89"/>
    <w:rsid w:val="001E46DA"/>
    <w:rsid w:val="001E72DE"/>
    <w:rsid w:val="00217CFD"/>
    <w:rsid w:val="00221FB8"/>
    <w:rsid w:val="00224405"/>
    <w:rsid w:val="00236EDA"/>
    <w:rsid w:val="002460BB"/>
    <w:rsid w:val="002577D5"/>
    <w:rsid w:val="00273766"/>
    <w:rsid w:val="002A0966"/>
    <w:rsid w:val="002A143A"/>
    <w:rsid w:val="002B2250"/>
    <w:rsid w:val="002C248D"/>
    <w:rsid w:val="002C2547"/>
    <w:rsid w:val="002D397D"/>
    <w:rsid w:val="002D4836"/>
    <w:rsid w:val="002E4C99"/>
    <w:rsid w:val="0031308A"/>
    <w:rsid w:val="00316EB3"/>
    <w:rsid w:val="00352940"/>
    <w:rsid w:val="0035594B"/>
    <w:rsid w:val="00364D92"/>
    <w:rsid w:val="00365B4A"/>
    <w:rsid w:val="003744DD"/>
    <w:rsid w:val="00384B23"/>
    <w:rsid w:val="00386462"/>
    <w:rsid w:val="00396014"/>
    <w:rsid w:val="003A2288"/>
    <w:rsid w:val="003A3A7C"/>
    <w:rsid w:val="003A7B18"/>
    <w:rsid w:val="003C3464"/>
    <w:rsid w:val="003C3CEE"/>
    <w:rsid w:val="003D1ADD"/>
    <w:rsid w:val="003E38F6"/>
    <w:rsid w:val="003F1D99"/>
    <w:rsid w:val="003F57BD"/>
    <w:rsid w:val="0040194B"/>
    <w:rsid w:val="00406EEF"/>
    <w:rsid w:val="00440DB9"/>
    <w:rsid w:val="00456D80"/>
    <w:rsid w:val="004641BA"/>
    <w:rsid w:val="00493DC0"/>
    <w:rsid w:val="004A1B2C"/>
    <w:rsid w:val="004A3B55"/>
    <w:rsid w:val="004A6CFF"/>
    <w:rsid w:val="004F1598"/>
    <w:rsid w:val="005042FE"/>
    <w:rsid w:val="00515FD1"/>
    <w:rsid w:val="00525257"/>
    <w:rsid w:val="005252E0"/>
    <w:rsid w:val="00541CF0"/>
    <w:rsid w:val="00543BB0"/>
    <w:rsid w:val="00547EE3"/>
    <w:rsid w:val="00554827"/>
    <w:rsid w:val="00564421"/>
    <w:rsid w:val="00571D48"/>
    <w:rsid w:val="0059443B"/>
    <w:rsid w:val="005A56CA"/>
    <w:rsid w:val="005B2A18"/>
    <w:rsid w:val="005B6589"/>
    <w:rsid w:val="005C08F5"/>
    <w:rsid w:val="005C2D8F"/>
    <w:rsid w:val="005D2109"/>
    <w:rsid w:val="005E4C53"/>
    <w:rsid w:val="005E5465"/>
    <w:rsid w:val="00603973"/>
    <w:rsid w:val="00611329"/>
    <w:rsid w:val="00617397"/>
    <w:rsid w:val="00617DAA"/>
    <w:rsid w:val="006203FB"/>
    <w:rsid w:val="00622FD8"/>
    <w:rsid w:val="00626F64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7A6B"/>
    <w:rsid w:val="006D20B6"/>
    <w:rsid w:val="006D397D"/>
    <w:rsid w:val="006D45F8"/>
    <w:rsid w:val="006D5F08"/>
    <w:rsid w:val="006F3BC8"/>
    <w:rsid w:val="006F6BA4"/>
    <w:rsid w:val="0071258A"/>
    <w:rsid w:val="0073182D"/>
    <w:rsid w:val="00733FE9"/>
    <w:rsid w:val="00751C28"/>
    <w:rsid w:val="007574A1"/>
    <w:rsid w:val="00767922"/>
    <w:rsid w:val="00772EE2"/>
    <w:rsid w:val="00774AB5"/>
    <w:rsid w:val="00783E4F"/>
    <w:rsid w:val="007853F9"/>
    <w:rsid w:val="00791B29"/>
    <w:rsid w:val="0079307D"/>
    <w:rsid w:val="007A02FB"/>
    <w:rsid w:val="007A26BB"/>
    <w:rsid w:val="007B1096"/>
    <w:rsid w:val="007B1E92"/>
    <w:rsid w:val="007D1FD7"/>
    <w:rsid w:val="007D47C7"/>
    <w:rsid w:val="007F1B26"/>
    <w:rsid w:val="00806F0F"/>
    <w:rsid w:val="00817076"/>
    <w:rsid w:val="00864528"/>
    <w:rsid w:val="00870C38"/>
    <w:rsid w:val="00877F8D"/>
    <w:rsid w:val="008A09C8"/>
    <w:rsid w:val="008A6E8C"/>
    <w:rsid w:val="008B3AC3"/>
    <w:rsid w:val="008B6BDB"/>
    <w:rsid w:val="008C0F34"/>
    <w:rsid w:val="008C5A60"/>
    <w:rsid w:val="008D68F3"/>
    <w:rsid w:val="008E5055"/>
    <w:rsid w:val="009235A4"/>
    <w:rsid w:val="00933257"/>
    <w:rsid w:val="00933428"/>
    <w:rsid w:val="00946179"/>
    <w:rsid w:val="00953D95"/>
    <w:rsid w:val="00953EDE"/>
    <w:rsid w:val="009553B2"/>
    <w:rsid w:val="00960045"/>
    <w:rsid w:val="009637B8"/>
    <w:rsid w:val="009A223C"/>
    <w:rsid w:val="009A7F37"/>
    <w:rsid w:val="009D7925"/>
    <w:rsid w:val="009E1B4A"/>
    <w:rsid w:val="009E33C5"/>
    <w:rsid w:val="009F6BE3"/>
    <w:rsid w:val="00A10D33"/>
    <w:rsid w:val="00A2063E"/>
    <w:rsid w:val="00A37495"/>
    <w:rsid w:val="00A65781"/>
    <w:rsid w:val="00A758EF"/>
    <w:rsid w:val="00A766FF"/>
    <w:rsid w:val="00A77C66"/>
    <w:rsid w:val="00A87BA4"/>
    <w:rsid w:val="00A90517"/>
    <w:rsid w:val="00A97887"/>
    <w:rsid w:val="00AB2D07"/>
    <w:rsid w:val="00AC3F41"/>
    <w:rsid w:val="00AF1CA6"/>
    <w:rsid w:val="00AF3B6E"/>
    <w:rsid w:val="00AF3CAF"/>
    <w:rsid w:val="00AF3DD4"/>
    <w:rsid w:val="00B20972"/>
    <w:rsid w:val="00B340BF"/>
    <w:rsid w:val="00B445A2"/>
    <w:rsid w:val="00B668BF"/>
    <w:rsid w:val="00B74C19"/>
    <w:rsid w:val="00B76247"/>
    <w:rsid w:val="00B84368"/>
    <w:rsid w:val="00B86CFB"/>
    <w:rsid w:val="00B940D4"/>
    <w:rsid w:val="00B9728F"/>
    <w:rsid w:val="00BB29FF"/>
    <w:rsid w:val="00BB48C7"/>
    <w:rsid w:val="00BB5C3E"/>
    <w:rsid w:val="00BF1494"/>
    <w:rsid w:val="00C0718A"/>
    <w:rsid w:val="00C15D97"/>
    <w:rsid w:val="00C17732"/>
    <w:rsid w:val="00C24543"/>
    <w:rsid w:val="00C308BF"/>
    <w:rsid w:val="00C3680B"/>
    <w:rsid w:val="00C42133"/>
    <w:rsid w:val="00C500F8"/>
    <w:rsid w:val="00C506C6"/>
    <w:rsid w:val="00C50740"/>
    <w:rsid w:val="00C55263"/>
    <w:rsid w:val="00C57337"/>
    <w:rsid w:val="00C62685"/>
    <w:rsid w:val="00C9101A"/>
    <w:rsid w:val="00CA2ABF"/>
    <w:rsid w:val="00CB4BDC"/>
    <w:rsid w:val="00CC2DF2"/>
    <w:rsid w:val="00CC413A"/>
    <w:rsid w:val="00CC6E23"/>
    <w:rsid w:val="00CD0985"/>
    <w:rsid w:val="00CD351E"/>
    <w:rsid w:val="00CE3A03"/>
    <w:rsid w:val="00CE44A4"/>
    <w:rsid w:val="00CE58FE"/>
    <w:rsid w:val="00D01586"/>
    <w:rsid w:val="00D26953"/>
    <w:rsid w:val="00D339C4"/>
    <w:rsid w:val="00D379BD"/>
    <w:rsid w:val="00D47EAB"/>
    <w:rsid w:val="00D562BA"/>
    <w:rsid w:val="00D60AC5"/>
    <w:rsid w:val="00D76D69"/>
    <w:rsid w:val="00D80A79"/>
    <w:rsid w:val="00DA4A40"/>
    <w:rsid w:val="00DD33C1"/>
    <w:rsid w:val="00DD4D6F"/>
    <w:rsid w:val="00DF6538"/>
    <w:rsid w:val="00E038D1"/>
    <w:rsid w:val="00E04DE5"/>
    <w:rsid w:val="00E11403"/>
    <w:rsid w:val="00E152C4"/>
    <w:rsid w:val="00E20EBB"/>
    <w:rsid w:val="00E33773"/>
    <w:rsid w:val="00E41C1B"/>
    <w:rsid w:val="00E441E4"/>
    <w:rsid w:val="00E54FE9"/>
    <w:rsid w:val="00E60BE8"/>
    <w:rsid w:val="00E6187D"/>
    <w:rsid w:val="00E61891"/>
    <w:rsid w:val="00E71188"/>
    <w:rsid w:val="00E72367"/>
    <w:rsid w:val="00E735ED"/>
    <w:rsid w:val="00E808E3"/>
    <w:rsid w:val="00E81C7E"/>
    <w:rsid w:val="00E9345B"/>
    <w:rsid w:val="00EC5ADC"/>
    <w:rsid w:val="00ED3B29"/>
    <w:rsid w:val="00EE56DD"/>
    <w:rsid w:val="00EF20DE"/>
    <w:rsid w:val="00EF2845"/>
    <w:rsid w:val="00EF38A0"/>
    <w:rsid w:val="00F16907"/>
    <w:rsid w:val="00F52BF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D1332"/>
    <w:rsid w:val="00FD40B6"/>
    <w:rsid w:val="00FD4F10"/>
    <w:rsid w:val="00FD5915"/>
    <w:rsid w:val="00FE696B"/>
    <w:rsid w:val="00FF6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  <w:lang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  <w:lang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rsid w:val="005A56CA"/>
    <w:pPr>
      <w:tabs>
        <w:tab w:val="center" w:pos="4419"/>
        <w:tab w:val="right" w:pos="8838"/>
      </w:tabs>
    </w:pPr>
    <w:rPr>
      <w:sz w:val="28"/>
      <w:lang/>
    </w:rPr>
  </w:style>
  <w:style w:type="character" w:customStyle="1" w:styleId="RodapChar">
    <w:name w:val="Rodapé Char"/>
    <w:link w:val="Rodap"/>
    <w:rsid w:val="005A56CA"/>
    <w:rPr>
      <w:sz w:val="28"/>
    </w:rPr>
  </w:style>
  <w:style w:type="paragraph" w:styleId="Cabealho">
    <w:name w:val="header"/>
    <w:basedOn w:val="Normal"/>
    <w:link w:val="CabealhoChar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  <w:lang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274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</cp:lastModifiedBy>
  <cp:revision>45</cp:revision>
  <cp:lastPrinted>2016-08-16T19:55:00Z</cp:lastPrinted>
  <dcterms:created xsi:type="dcterms:W3CDTF">2016-08-16T19:55:00Z</dcterms:created>
  <dcterms:modified xsi:type="dcterms:W3CDTF">2016-11-30T12:49:00Z</dcterms:modified>
</cp:coreProperties>
</file>