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957B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957B6">
        <w:rPr>
          <w:rFonts w:ascii="Tahoma" w:hAnsi="Tahoma" w:cs="Tahoma"/>
          <w:b/>
          <w:sz w:val="32"/>
          <w:szCs w:val="32"/>
          <w:u w:val="single"/>
        </w:rPr>
        <w:t>194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957B6">
        <w:rPr>
          <w:rFonts w:ascii="Tahoma" w:hAnsi="Tahoma" w:cs="Tahoma"/>
          <w:b/>
          <w:sz w:val="32"/>
          <w:szCs w:val="32"/>
          <w:u w:val="single"/>
        </w:rPr>
        <w:t>201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957B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957B6">
        <w:rPr>
          <w:rFonts w:ascii="Calibri" w:hAnsi="Calibri" w:cs="Calibri"/>
          <w:sz w:val="22"/>
          <w:szCs w:val="22"/>
        </w:rPr>
        <w:t>Dispõe sobre alteração da nomenclatura da Gerência de Iluminação de Vias Públicas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0957B6" w:rsidRPr="000957B6" w:rsidRDefault="000957B6" w:rsidP="000957B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957B6">
        <w:rPr>
          <w:rFonts w:ascii="Calibri" w:hAnsi="Calibri" w:cs="Calibri"/>
          <w:sz w:val="24"/>
          <w:szCs w:val="24"/>
        </w:rPr>
        <w:t>Art. 1º A Gerência de Iluminação de Vias Públicas da Secretaria Municipal de Serviços Públicos passa a denominar-se Gerência de Iluminação Pública.</w:t>
      </w:r>
    </w:p>
    <w:p w:rsidR="000957B6" w:rsidRPr="000957B6" w:rsidRDefault="000957B6" w:rsidP="000957B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0957B6" w:rsidP="000957B6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</w:t>
      </w:r>
      <w:bookmarkStart w:id="0" w:name="_GoBack"/>
      <w:bookmarkEnd w:id="0"/>
      <w:r w:rsidRPr="000957B6">
        <w:rPr>
          <w:rFonts w:ascii="Calibri" w:hAnsi="Calibri" w:cs="Calibri"/>
          <w:sz w:val="24"/>
          <w:szCs w:val="24"/>
        </w:rPr>
        <w:t>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D1FD7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D1FD7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57B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57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957B6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ABB0A5-B4DC-41D4-98C3-F895EFE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39</cp:revision>
  <cp:lastPrinted>2016-08-16T19:55:00Z</cp:lastPrinted>
  <dcterms:created xsi:type="dcterms:W3CDTF">2016-08-16T19:55:00Z</dcterms:created>
  <dcterms:modified xsi:type="dcterms:W3CDTF">2016-10-25T21:10:00Z</dcterms:modified>
</cp:coreProperties>
</file>