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52110D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C28C9">
        <w:rPr>
          <w:rFonts w:ascii="Tahoma" w:hAnsi="Tahoma" w:cs="Tahoma"/>
          <w:b/>
          <w:sz w:val="32"/>
          <w:szCs w:val="32"/>
          <w:u w:val="single"/>
        </w:rPr>
        <w:t>19</w:t>
      </w:r>
      <w:r w:rsidR="0052110D">
        <w:rPr>
          <w:rFonts w:ascii="Tahoma" w:hAnsi="Tahoma" w:cs="Tahoma"/>
          <w:b/>
          <w:sz w:val="32"/>
          <w:szCs w:val="32"/>
          <w:u w:val="single"/>
        </w:rPr>
        <w:t>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C28C9">
        <w:rPr>
          <w:rFonts w:ascii="Tahoma" w:hAnsi="Tahoma" w:cs="Tahoma"/>
          <w:b/>
          <w:sz w:val="32"/>
          <w:szCs w:val="32"/>
          <w:u w:val="single"/>
        </w:rPr>
        <w:t>197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C28C9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C28C9">
        <w:rPr>
          <w:rFonts w:ascii="Calibri" w:hAnsi="Calibri" w:cs="Calibri"/>
          <w:sz w:val="22"/>
          <w:szCs w:val="22"/>
        </w:rPr>
        <w:t>Dispõe sobre a autorização para alienação de imóvel do patrimônio público, localizado na Vila José Bonifácio,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7C28C9" w:rsidRPr="007C28C9" w:rsidRDefault="007C28C9" w:rsidP="007C28C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C28C9">
        <w:rPr>
          <w:rFonts w:ascii="Calibri" w:hAnsi="Calibri" w:cs="Calibri"/>
          <w:sz w:val="24"/>
          <w:szCs w:val="24"/>
        </w:rPr>
        <w:t xml:space="preserve">Art. 1º Fica o Chefe do Poder Executivo autorizado a alienar, mediante licitação na modalidade concorrência, o imóvel municipal dominical descrito na matrícula nº 30.490 do 1º Cartório de Registro de Imóveis de Araraquara, localizado na </w:t>
      </w:r>
      <w:r w:rsidR="00754992">
        <w:rPr>
          <w:rFonts w:ascii="Calibri" w:hAnsi="Calibri" w:cs="Calibri"/>
          <w:sz w:val="24"/>
          <w:szCs w:val="24"/>
        </w:rPr>
        <w:t>Rua Tupi</w:t>
      </w:r>
      <w:r w:rsidRPr="007C28C9">
        <w:rPr>
          <w:rFonts w:ascii="Calibri" w:hAnsi="Calibri" w:cs="Calibri"/>
          <w:sz w:val="24"/>
          <w:szCs w:val="24"/>
        </w:rPr>
        <w:t>,</w:t>
      </w:r>
      <w:r w:rsidR="00754992">
        <w:rPr>
          <w:rFonts w:ascii="Calibri" w:hAnsi="Calibri" w:cs="Calibri"/>
          <w:sz w:val="24"/>
          <w:szCs w:val="24"/>
        </w:rPr>
        <w:t xml:space="preserve"> nº</w:t>
      </w:r>
      <w:r w:rsidRPr="007C28C9">
        <w:rPr>
          <w:rFonts w:ascii="Calibri" w:hAnsi="Calibri" w:cs="Calibri"/>
          <w:sz w:val="24"/>
          <w:szCs w:val="24"/>
        </w:rPr>
        <w:t xml:space="preserve"> 999.</w:t>
      </w:r>
    </w:p>
    <w:p w:rsidR="007C28C9" w:rsidRPr="007C28C9" w:rsidRDefault="007C28C9" w:rsidP="007C28C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C28C9" w:rsidRPr="007C28C9" w:rsidRDefault="007C28C9" w:rsidP="007C28C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C28C9">
        <w:rPr>
          <w:rFonts w:ascii="Calibri" w:hAnsi="Calibri" w:cs="Calibri"/>
          <w:sz w:val="24"/>
          <w:szCs w:val="24"/>
        </w:rPr>
        <w:t xml:space="preserve">§ 1º O imóvel deverá ser avaliado pelo órgão competente da Prefeitura previamente à abertura do certame licitatório, levando-se em conta as condições de mercado vigentes na ocasião. </w:t>
      </w:r>
    </w:p>
    <w:p w:rsidR="007C28C9" w:rsidRPr="007C28C9" w:rsidRDefault="007C28C9" w:rsidP="007C28C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C28C9" w:rsidRPr="007C28C9" w:rsidRDefault="007C28C9" w:rsidP="007C28C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C28C9">
        <w:rPr>
          <w:rFonts w:ascii="Calibri" w:hAnsi="Calibri" w:cs="Calibri"/>
          <w:sz w:val="24"/>
          <w:szCs w:val="24"/>
        </w:rPr>
        <w:t>§ 2º A alienação de que trata o caput se dará ad corpus, conforme o art. 500, § 3º, da Lei Nacional 10.406 de 10 de janeiro de 2002.</w:t>
      </w:r>
    </w:p>
    <w:p w:rsidR="007C28C9" w:rsidRPr="007C28C9" w:rsidRDefault="007C28C9" w:rsidP="007C28C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C28C9" w:rsidRPr="007C28C9" w:rsidRDefault="007C28C9" w:rsidP="007C28C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C28C9">
        <w:rPr>
          <w:rFonts w:ascii="Calibri" w:hAnsi="Calibri" w:cs="Calibri"/>
          <w:sz w:val="24"/>
          <w:szCs w:val="24"/>
        </w:rPr>
        <w:t>Art. 2º A receita decorrente da alienação de que trata esta lei não financiará despesa corrente.</w:t>
      </w:r>
    </w:p>
    <w:p w:rsidR="007C28C9" w:rsidRPr="007C28C9" w:rsidRDefault="007C28C9" w:rsidP="007C28C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7C28C9" w:rsidRPr="007C28C9" w:rsidRDefault="007C28C9" w:rsidP="007C28C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C28C9">
        <w:rPr>
          <w:rFonts w:ascii="Calibri" w:hAnsi="Calibri" w:cs="Calibri"/>
          <w:sz w:val="24"/>
          <w:szCs w:val="24"/>
        </w:rPr>
        <w:t xml:space="preserve">Art. 3º As despesas decorrentes da execução desta lei correrão por conta das dotações orçamentárias próprias. </w:t>
      </w:r>
    </w:p>
    <w:p w:rsidR="007C28C9" w:rsidRPr="007C28C9" w:rsidRDefault="007C28C9" w:rsidP="007C28C9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7C28C9" w:rsidP="007C28C9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C28C9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2110D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52110D">
        <w:rPr>
          <w:rFonts w:ascii="Calibri" w:hAnsi="Calibri" w:cs="Calibri"/>
          <w:sz w:val="24"/>
          <w:szCs w:val="24"/>
        </w:rPr>
        <w:t>vinte e seis</w:t>
      </w:r>
      <w:bookmarkStart w:id="0" w:name="_GoBack"/>
      <w:bookmarkEnd w:id="0"/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B1096">
        <w:rPr>
          <w:rFonts w:ascii="Calibri" w:hAnsi="Calibri" w:cs="Calibri"/>
          <w:sz w:val="24"/>
          <w:szCs w:val="24"/>
        </w:rPr>
        <w:t>outu</w:t>
      </w:r>
      <w:r w:rsidR="005B6589">
        <w:rPr>
          <w:rFonts w:ascii="Calibri" w:hAnsi="Calibri" w:cs="Calibri"/>
          <w:sz w:val="24"/>
          <w:szCs w:val="24"/>
        </w:rPr>
        <w:t>br</w:t>
      </w:r>
      <w:r w:rsidR="00087DD8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 xml:space="preserve"> 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2110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C59EE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FC59EE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FC59EE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211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110D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4992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8C9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59EE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80A8DDD-9D06-4518-B44A-E5F5629D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40</cp:revision>
  <cp:lastPrinted>2016-08-16T19:55:00Z</cp:lastPrinted>
  <dcterms:created xsi:type="dcterms:W3CDTF">2016-08-16T19:55:00Z</dcterms:created>
  <dcterms:modified xsi:type="dcterms:W3CDTF">2016-10-25T20:59:00Z</dcterms:modified>
</cp:coreProperties>
</file>