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3C585C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9F7DE2" w:rsidRDefault="009F7DE2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13D84">
        <w:rPr>
          <w:rFonts w:ascii="Arial" w:hAnsi="Arial" w:cs="Arial"/>
          <w:b/>
          <w:sz w:val="24"/>
          <w:szCs w:val="24"/>
        </w:rPr>
        <w:t xml:space="preserve">    </w:t>
      </w:r>
      <w:r w:rsidR="00213D84" w:rsidRPr="00213D84">
        <w:rPr>
          <w:rFonts w:ascii="Arial" w:hAnsi="Arial" w:cs="Arial"/>
          <w:b/>
          <w:sz w:val="32"/>
          <w:szCs w:val="24"/>
        </w:rPr>
        <w:t>1753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52243" w:rsidRDefault="00152243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52243" w:rsidP="001B7B59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Lei Municipal 7.058/09, instituiu regras para exploração de áreas de estacionamento de veículos;</w:t>
      </w:r>
    </w:p>
    <w:p w:rsidR="00152243" w:rsidRDefault="00152243" w:rsidP="001B7B59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</w:p>
    <w:p w:rsidR="00152243" w:rsidRDefault="00152243" w:rsidP="001B7B59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</w:t>
      </w:r>
      <w:r w:rsidR="00286A48">
        <w:rPr>
          <w:rFonts w:ascii="Arial" w:hAnsi="Arial" w:cs="Arial"/>
          <w:sz w:val="24"/>
          <w:szCs w:val="24"/>
        </w:rPr>
        <w:t xml:space="preserve">do que o art. 9º da referida </w:t>
      </w:r>
      <w:r w:rsidR="001B7B59">
        <w:rPr>
          <w:rFonts w:ascii="Arial" w:hAnsi="Arial" w:cs="Arial"/>
          <w:sz w:val="24"/>
          <w:szCs w:val="24"/>
        </w:rPr>
        <w:t xml:space="preserve">Lei </w:t>
      </w:r>
      <w:r w:rsidR="00286A48">
        <w:rPr>
          <w:rFonts w:ascii="Arial" w:hAnsi="Arial" w:cs="Arial"/>
          <w:sz w:val="24"/>
          <w:szCs w:val="24"/>
        </w:rPr>
        <w:t>criou as “áreas brancas”, para estacionamento de curta duração (até 15 minutos), sem pagamento da tarifa da área azul;</w:t>
      </w:r>
    </w:p>
    <w:p w:rsidR="00286A48" w:rsidRDefault="00286A48" w:rsidP="001B7B59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</w:p>
    <w:p w:rsidR="00286A48" w:rsidRDefault="00286A48" w:rsidP="001B7B59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mesmo artigo, em seu parágrafo único, prevê que até 5% do total de vagas regulamentadas para estacionamento rotativo podem ser destinadas as “áreas brancas”;</w:t>
      </w:r>
    </w:p>
    <w:p w:rsidR="00286A48" w:rsidRDefault="00286A48" w:rsidP="001B7B59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</w:p>
    <w:p w:rsidR="00286A48" w:rsidRDefault="00286A48" w:rsidP="001B7B59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em 2009, quando a referida Lei foi regulamentada, existiam várias vagas de “área branca”, mas ao longo dos anos essas vagas foram sendo diminuídas, restando atualmente </w:t>
      </w:r>
      <w:r w:rsidR="000A4D1B">
        <w:rPr>
          <w:rFonts w:ascii="Arial" w:hAnsi="Arial" w:cs="Arial"/>
          <w:sz w:val="24"/>
          <w:szCs w:val="24"/>
        </w:rPr>
        <w:t>pouquíssimas dessas vagas no perímetro da área azul;</w:t>
      </w:r>
    </w:p>
    <w:p w:rsidR="009F7DE2" w:rsidRDefault="009F7DE2" w:rsidP="001B7B59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</w:p>
    <w:p w:rsidR="000A4D1B" w:rsidRDefault="000A4D1B" w:rsidP="001B7B59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“área branca” é um importante benefício para aqueles que fazem paradas curtas, que sem sua existência teriam que pagar pelo menos 30 minutos de estacionamento para utilizar muitas vezes, menos da metade desse tempo;</w:t>
      </w:r>
    </w:p>
    <w:p w:rsidR="009F7DE2" w:rsidRDefault="009F7DE2" w:rsidP="009F7DE2">
      <w:pPr>
        <w:ind w:left="567" w:right="-374" w:firstLine="2268"/>
        <w:jc w:val="right"/>
        <w:rPr>
          <w:rFonts w:ascii="Arial" w:hAnsi="Arial" w:cs="Arial"/>
          <w:b/>
          <w:i/>
        </w:rPr>
      </w:pPr>
    </w:p>
    <w:p w:rsidR="009F7DE2" w:rsidRDefault="009F7DE2" w:rsidP="009F7DE2">
      <w:pPr>
        <w:ind w:left="567" w:right="-374" w:firstLine="2268"/>
        <w:jc w:val="right"/>
        <w:rPr>
          <w:rFonts w:ascii="Arial" w:hAnsi="Arial" w:cs="Arial"/>
          <w:b/>
          <w:i/>
        </w:rPr>
      </w:pPr>
    </w:p>
    <w:p w:rsidR="00152243" w:rsidRPr="009F7DE2" w:rsidRDefault="001B7B59" w:rsidP="001B7B59">
      <w:pPr>
        <w:ind w:left="567" w:right="-1" w:firstLine="2268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r w:rsidR="009F7DE2" w:rsidRPr="009F7DE2">
        <w:rPr>
          <w:rFonts w:ascii="Arial" w:hAnsi="Arial" w:cs="Arial"/>
          <w:b/>
          <w:i/>
        </w:rPr>
        <w:t>continua..</w:t>
      </w:r>
      <w:r w:rsidR="009F7DE2">
        <w:rPr>
          <w:rFonts w:ascii="Arial" w:hAnsi="Arial" w:cs="Arial"/>
          <w:b/>
          <w:i/>
        </w:rPr>
        <w:t>.</w:t>
      </w:r>
    </w:p>
    <w:p w:rsidR="009F7DE2" w:rsidRDefault="009F7DE2" w:rsidP="001B7B59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1B7B59">
        <w:rPr>
          <w:rFonts w:ascii="Arial" w:hAnsi="Arial" w:cs="Arial"/>
          <w:sz w:val="24"/>
          <w:szCs w:val="24"/>
        </w:rPr>
        <w:t xml:space="preserve">    </w:t>
      </w:r>
      <w:r w:rsidR="001B7B59" w:rsidRPr="001B7B59">
        <w:rPr>
          <w:rFonts w:ascii="Arial" w:hAnsi="Arial" w:cs="Arial"/>
          <w:b/>
          <w:i/>
        </w:rPr>
        <w:t xml:space="preserve">continuação da indicação nº </w:t>
      </w:r>
      <w:r w:rsidR="00213D84">
        <w:rPr>
          <w:rFonts w:ascii="Arial" w:hAnsi="Arial" w:cs="Arial"/>
          <w:b/>
          <w:i/>
        </w:rPr>
        <w:t xml:space="preserve">  1753</w:t>
      </w:r>
      <w:r w:rsidR="001B7B59">
        <w:rPr>
          <w:rFonts w:ascii="Arial" w:hAnsi="Arial" w:cs="Arial"/>
          <w:b/>
          <w:i/>
        </w:rPr>
        <w:t>/15.</w:t>
      </w:r>
    </w:p>
    <w:p w:rsidR="001B7B59" w:rsidRDefault="001B7B59" w:rsidP="001B7B59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</w:p>
    <w:p w:rsidR="001B7B59" w:rsidRPr="001B7B59" w:rsidRDefault="001B7B59" w:rsidP="001B7B59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</w:p>
    <w:p w:rsidR="00270D72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0A4D1B">
        <w:rPr>
          <w:rFonts w:ascii="Arial" w:hAnsi="Arial" w:cs="Arial"/>
          <w:sz w:val="24"/>
          <w:szCs w:val="24"/>
        </w:rPr>
        <w:t>setor competente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0A4D1B" w:rsidRPr="000A4D1B">
        <w:rPr>
          <w:rFonts w:ascii="Arial" w:hAnsi="Arial" w:cs="Arial"/>
          <w:b/>
          <w:sz w:val="24"/>
          <w:szCs w:val="24"/>
        </w:rPr>
        <w:t xml:space="preserve">a fim de </w:t>
      </w:r>
      <w:r w:rsidR="000A4D1B">
        <w:rPr>
          <w:rFonts w:ascii="Arial" w:hAnsi="Arial" w:cs="Arial"/>
          <w:b/>
          <w:sz w:val="24"/>
          <w:szCs w:val="24"/>
        </w:rPr>
        <w:t>viabilizar</w:t>
      </w:r>
      <w:r w:rsidR="00C90A43">
        <w:rPr>
          <w:rFonts w:ascii="Arial" w:hAnsi="Arial" w:cs="Arial"/>
          <w:b/>
          <w:sz w:val="24"/>
          <w:szCs w:val="24"/>
        </w:rPr>
        <w:t xml:space="preserve"> </w:t>
      </w:r>
      <w:r w:rsidR="001375D6">
        <w:rPr>
          <w:rFonts w:ascii="Arial" w:hAnsi="Arial" w:cs="Arial"/>
          <w:b/>
          <w:sz w:val="24"/>
          <w:szCs w:val="24"/>
        </w:rPr>
        <w:t xml:space="preserve">a </w:t>
      </w:r>
      <w:r w:rsidR="000A4D1B">
        <w:rPr>
          <w:rFonts w:ascii="Arial" w:hAnsi="Arial" w:cs="Arial"/>
          <w:b/>
          <w:sz w:val="24"/>
          <w:szCs w:val="24"/>
        </w:rPr>
        <w:t>ampliação do número de vagas de curta duração (área</w:t>
      </w:r>
      <w:r w:rsidR="001B7B59">
        <w:rPr>
          <w:rFonts w:ascii="Arial" w:hAnsi="Arial" w:cs="Arial"/>
          <w:b/>
          <w:sz w:val="24"/>
          <w:szCs w:val="24"/>
        </w:rPr>
        <w:t>s</w:t>
      </w:r>
      <w:r w:rsidR="000A4D1B">
        <w:rPr>
          <w:rFonts w:ascii="Arial" w:hAnsi="Arial" w:cs="Arial"/>
          <w:b/>
          <w:sz w:val="24"/>
          <w:szCs w:val="24"/>
        </w:rPr>
        <w:t xml:space="preserve"> branca</w:t>
      </w:r>
      <w:r w:rsidR="001B7B59">
        <w:rPr>
          <w:rFonts w:ascii="Arial" w:hAnsi="Arial" w:cs="Arial"/>
          <w:b/>
          <w:sz w:val="24"/>
          <w:szCs w:val="24"/>
        </w:rPr>
        <w:t>s</w:t>
      </w:r>
      <w:r w:rsidR="000A4D1B">
        <w:rPr>
          <w:rFonts w:ascii="Arial" w:hAnsi="Arial" w:cs="Arial"/>
          <w:b/>
          <w:sz w:val="24"/>
          <w:szCs w:val="24"/>
        </w:rPr>
        <w:t xml:space="preserve">), de modo que tenhamos pelo menos uma vaga desse tipo em cada quarteirão </w:t>
      </w:r>
      <w:r w:rsidR="001B7B59">
        <w:rPr>
          <w:rFonts w:ascii="Arial" w:hAnsi="Arial" w:cs="Arial"/>
          <w:b/>
          <w:sz w:val="24"/>
          <w:szCs w:val="24"/>
        </w:rPr>
        <w:t>d</w:t>
      </w:r>
      <w:r w:rsidR="000A4D1B">
        <w:rPr>
          <w:rFonts w:ascii="Arial" w:hAnsi="Arial" w:cs="Arial"/>
          <w:b/>
          <w:sz w:val="24"/>
          <w:szCs w:val="24"/>
        </w:rPr>
        <w:t>o perímetro da área azul.</w:t>
      </w:r>
    </w:p>
    <w:p w:rsidR="00A13176" w:rsidRDefault="00051713" w:rsidP="000A4D1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A4D1B" w:rsidRPr="00051713" w:rsidRDefault="000A4D1B" w:rsidP="000A4D1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152243">
        <w:rPr>
          <w:rFonts w:ascii="Arial" w:hAnsi="Arial" w:cs="Arial"/>
          <w:sz w:val="24"/>
          <w:szCs w:val="24"/>
        </w:rPr>
        <w:t xml:space="preserve">7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152243">
        <w:rPr>
          <w:rFonts w:ascii="Arial" w:hAnsi="Arial" w:cs="Arial"/>
          <w:sz w:val="24"/>
          <w:szCs w:val="24"/>
        </w:rPr>
        <w:t>jul</w:t>
      </w:r>
      <w:r w:rsidR="00C13646">
        <w:rPr>
          <w:rFonts w:ascii="Arial" w:hAnsi="Arial" w:cs="Arial"/>
          <w:sz w:val="24"/>
          <w:szCs w:val="24"/>
        </w:rPr>
        <w:t>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B7B59" w:rsidRDefault="001B7B59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0A4D1B">
        <w:rPr>
          <w:rFonts w:ascii="Arial" w:hAnsi="Arial" w:cs="Arial"/>
          <w:i/>
          <w:sz w:val="12"/>
          <w:szCs w:val="12"/>
        </w:rPr>
        <w:t>ampliação da área branca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4163"/>
    <w:rsid w:val="00043629"/>
    <w:rsid w:val="00051713"/>
    <w:rsid w:val="00054B7A"/>
    <w:rsid w:val="00065443"/>
    <w:rsid w:val="000A4D1B"/>
    <w:rsid w:val="000A7B4C"/>
    <w:rsid w:val="00132389"/>
    <w:rsid w:val="001375D6"/>
    <w:rsid w:val="00152243"/>
    <w:rsid w:val="00166C1B"/>
    <w:rsid w:val="00186776"/>
    <w:rsid w:val="0019665A"/>
    <w:rsid w:val="001B7B59"/>
    <w:rsid w:val="00204E7D"/>
    <w:rsid w:val="00213D84"/>
    <w:rsid w:val="00243EE6"/>
    <w:rsid w:val="00270D72"/>
    <w:rsid w:val="00286A48"/>
    <w:rsid w:val="002B1B6A"/>
    <w:rsid w:val="002C5B1C"/>
    <w:rsid w:val="002C6C68"/>
    <w:rsid w:val="0030015E"/>
    <w:rsid w:val="003B14E0"/>
    <w:rsid w:val="003C585C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A6779"/>
    <w:rsid w:val="007C2CE3"/>
    <w:rsid w:val="00880FE1"/>
    <w:rsid w:val="008C1438"/>
    <w:rsid w:val="009140AC"/>
    <w:rsid w:val="00971151"/>
    <w:rsid w:val="009A0748"/>
    <w:rsid w:val="009A5AFC"/>
    <w:rsid w:val="009F6242"/>
    <w:rsid w:val="009F7DE2"/>
    <w:rsid w:val="00A13176"/>
    <w:rsid w:val="00A30775"/>
    <w:rsid w:val="00B00557"/>
    <w:rsid w:val="00B03289"/>
    <w:rsid w:val="00B4002F"/>
    <w:rsid w:val="00C13646"/>
    <w:rsid w:val="00C30097"/>
    <w:rsid w:val="00C90A43"/>
    <w:rsid w:val="00CA3240"/>
    <w:rsid w:val="00D14403"/>
    <w:rsid w:val="00DB7B0E"/>
    <w:rsid w:val="00DD4D13"/>
    <w:rsid w:val="00E0532F"/>
    <w:rsid w:val="00E651A0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2015-07-17T18:50:00Z</cp:lastPrinted>
  <dcterms:created xsi:type="dcterms:W3CDTF">2015-07-20T16:46:00Z</dcterms:created>
  <dcterms:modified xsi:type="dcterms:W3CDTF">2015-07-20T16:46:00Z</dcterms:modified>
</cp:coreProperties>
</file>