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785E" w:rsidRDefault="006A785E" w:rsidP="006A785E">
      <w:pPr>
        <w:jc w:val="center"/>
        <w:rPr>
          <w:rFonts w:ascii="Arial" w:hAnsi="Arial" w:cs="Arial"/>
          <w:sz w:val="28"/>
          <w:szCs w:val="28"/>
        </w:rPr>
      </w:pPr>
      <w:bookmarkStart w:id="0" w:name="_GoBack"/>
      <w:bookmarkEnd w:id="0"/>
      <w:r>
        <w:rPr>
          <w:rFonts w:ascii="Arial" w:hAnsi="Arial" w:cs="Arial"/>
          <w:sz w:val="28"/>
          <w:szCs w:val="28"/>
        </w:rPr>
        <w:t xml:space="preserve">PROJETO DE LEI Nº </w:t>
      </w:r>
      <w:r w:rsidR="009B670B">
        <w:rPr>
          <w:rFonts w:ascii="Arial" w:hAnsi="Arial" w:cs="Arial"/>
          <w:sz w:val="28"/>
          <w:szCs w:val="28"/>
        </w:rPr>
        <w:t xml:space="preserve">    136    </w:t>
      </w:r>
      <w:r>
        <w:rPr>
          <w:rFonts w:ascii="Arial" w:hAnsi="Arial" w:cs="Arial"/>
          <w:sz w:val="28"/>
          <w:szCs w:val="28"/>
        </w:rPr>
        <w:t>/2015</w:t>
      </w:r>
    </w:p>
    <w:p w:rsidR="00EA67A2" w:rsidRDefault="00EA67A2" w:rsidP="00EA67A2">
      <w:pPr>
        <w:jc w:val="center"/>
      </w:pPr>
    </w:p>
    <w:p w:rsidR="00EA67A2" w:rsidRDefault="00EA67A2" w:rsidP="00EA67A2"/>
    <w:p w:rsidR="00EA67A2" w:rsidRDefault="00EA67A2" w:rsidP="00EA67A2"/>
    <w:p w:rsidR="00EA67A2" w:rsidRDefault="00EA67A2" w:rsidP="00EA67A2"/>
    <w:p w:rsidR="00EA67A2" w:rsidRDefault="00EA67A2" w:rsidP="00EA67A2"/>
    <w:p w:rsidR="00EA67A2" w:rsidRDefault="00EA67A2" w:rsidP="00EA67A2">
      <w:pPr>
        <w:ind w:left="4536" w:right="5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Institui como documento símbolo do Município de Araraquara o “</w:t>
      </w:r>
      <w:r>
        <w:rPr>
          <w:rFonts w:ascii="Arial" w:hAnsi="Arial" w:cs="Arial"/>
          <w:b/>
          <w:bCs/>
          <w:sz w:val="24"/>
          <w:szCs w:val="24"/>
        </w:rPr>
        <w:t>Álbum de Araraquara 1915</w:t>
      </w:r>
      <w:r w:rsidRPr="00294280">
        <w:rPr>
          <w:rFonts w:ascii="Arial" w:hAnsi="Arial" w:cs="Arial"/>
          <w:b/>
          <w:bCs/>
          <w:sz w:val="24"/>
          <w:szCs w:val="24"/>
        </w:rPr>
        <w:t>”</w:t>
      </w:r>
      <w:r w:rsidR="000E0614">
        <w:rPr>
          <w:rFonts w:ascii="Arial" w:hAnsi="Arial" w:cs="Arial"/>
          <w:sz w:val="24"/>
          <w:szCs w:val="24"/>
        </w:rPr>
        <w:t xml:space="preserve"> e dá outras providê</w:t>
      </w:r>
      <w:r>
        <w:rPr>
          <w:rFonts w:ascii="Arial" w:hAnsi="Arial" w:cs="Arial"/>
          <w:sz w:val="24"/>
          <w:szCs w:val="24"/>
        </w:rPr>
        <w:t>ncias.</w:t>
      </w:r>
    </w:p>
    <w:p w:rsidR="00EA67A2" w:rsidRDefault="00EA67A2" w:rsidP="00EA67A2">
      <w:pPr>
        <w:jc w:val="both"/>
        <w:rPr>
          <w:rFonts w:ascii="Arial" w:hAnsi="Arial" w:cs="Arial"/>
          <w:sz w:val="24"/>
          <w:szCs w:val="24"/>
        </w:rPr>
      </w:pPr>
    </w:p>
    <w:p w:rsidR="00EA67A2" w:rsidRDefault="00EA67A2" w:rsidP="00EA67A2">
      <w:pPr>
        <w:jc w:val="both"/>
        <w:rPr>
          <w:rFonts w:ascii="Arial" w:hAnsi="Arial" w:cs="Arial"/>
          <w:sz w:val="24"/>
          <w:szCs w:val="24"/>
        </w:rPr>
      </w:pPr>
    </w:p>
    <w:p w:rsidR="00EA67A2" w:rsidRPr="00EA67A2" w:rsidRDefault="00EA67A2" w:rsidP="00EA67A2">
      <w:pPr>
        <w:jc w:val="both"/>
        <w:rPr>
          <w:rFonts w:ascii="Arial" w:hAnsi="Arial" w:cs="Arial"/>
          <w:sz w:val="24"/>
          <w:szCs w:val="24"/>
        </w:rPr>
      </w:pPr>
    </w:p>
    <w:p w:rsidR="00EA67A2" w:rsidRDefault="00EA67A2" w:rsidP="00EA67A2">
      <w:pPr>
        <w:tabs>
          <w:tab w:val="left" w:pos="-142"/>
        </w:tabs>
        <w:ind w:right="5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  <w:t>Art. 1º</w:t>
      </w:r>
      <w:r w:rsidR="00652BD3"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Fica instituído como documento símbolo do Município de Araraquara o “Álbum de Araraquara 1915”.</w:t>
      </w:r>
    </w:p>
    <w:p w:rsidR="00EA67A2" w:rsidRDefault="00EA67A2" w:rsidP="00EA67A2">
      <w:pPr>
        <w:tabs>
          <w:tab w:val="left" w:pos="0"/>
        </w:tabs>
        <w:ind w:right="5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  <w:t>Art. 2º</w:t>
      </w:r>
      <w:r>
        <w:rPr>
          <w:rFonts w:ascii="Arial" w:hAnsi="Arial" w:cs="Arial"/>
          <w:sz w:val="24"/>
          <w:szCs w:val="24"/>
        </w:rPr>
        <w:t xml:space="preserve"> A instituição </w:t>
      </w:r>
      <w:r w:rsidR="000E0614">
        <w:rPr>
          <w:rFonts w:ascii="Arial" w:hAnsi="Arial" w:cs="Arial"/>
          <w:sz w:val="24"/>
          <w:szCs w:val="24"/>
        </w:rPr>
        <w:t xml:space="preserve">do “Álbum de Araraquara 1915” </w:t>
      </w:r>
      <w:r>
        <w:rPr>
          <w:rFonts w:ascii="Arial" w:hAnsi="Arial" w:cs="Arial"/>
          <w:sz w:val="24"/>
          <w:szCs w:val="24"/>
        </w:rPr>
        <w:t xml:space="preserve">como símbolo da cidade tem por objetivo </w:t>
      </w:r>
      <w:r w:rsidR="00551F7F">
        <w:rPr>
          <w:rFonts w:ascii="Arial" w:hAnsi="Arial" w:cs="Arial"/>
          <w:sz w:val="24"/>
          <w:szCs w:val="24"/>
        </w:rPr>
        <w:t xml:space="preserve">comemorar seu centenário, </w:t>
      </w:r>
      <w:r>
        <w:rPr>
          <w:rFonts w:ascii="Arial" w:hAnsi="Arial" w:cs="Arial"/>
          <w:sz w:val="24"/>
          <w:szCs w:val="24"/>
        </w:rPr>
        <w:t>reconhece</w:t>
      </w:r>
      <w:r w:rsidR="00551F7F">
        <w:rPr>
          <w:rFonts w:ascii="Arial" w:hAnsi="Arial" w:cs="Arial"/>
          <w:sz w:val="24"/>
          <w:szCs w:val="24"/>
        </w:rPr>
        <w:t>ndo</w:t>
      </w:r>
      <w:r>
        <w:rPr>
          <w:rFonts w:ascii="Arial" w:hAnsi="Arial" w:cs="Arial"/>
          <w:sz w:val="24"/>
          <w:szCs w:val="24"/>
        </w:rPr>
        <w:t xml:space="preserve"> sua importância</w:t>
      </w:r>
      <w:r w:rsidR="00551F7F">
        <w:rPr>
          <w:rFonts w:ascii="Arial" w:hAnsi="Arial" w:cs="Arial"/>
          <w:sz w:val="24"/>
          <w:szCs w:val="24"/>
        </w:rPr>
        <w:t xml:space="preserve"> para a memória da cidade e região</w:t>
      </w:r>
      <w:r>
        <w:rPr>
          <w:rFonts w:ascii="Arial" w:hAnsi="Arial" w:cs="Arial"/>
          <w:sz w:val="24"/>
          <w:szCs w:val="24"/>
        </w:rPr>
        <w:t xml:space="preserve">, tendo em vista </w:t>
      </w:r>
      <w:r w:rsidR="000E0614">
        <w:rPr>
          <w:rFonts w:ascii="Arial" w:hAnsi="Arial" w:cs="Arial"/>
          <w:sz w:val="24"/>
          <w:szCs w:val="24"/>
        </w:rPr>
        <w:t>seu conteúdo histórico</w:t>
      </w:r>
      <w:r>
        <w:rPr>
          <w:rFonts w:ascii="Arial" w:hAnsi="Arial" w:cs="Arial"/>
          <w:sz w:val="24"/>
          <w:szCs w:val="24"/>
        </w:rPr>
        <w:t>.</w:t>
      </w:r>
    </w:p>
    <w:p w:rsidR="00EA67A2" w:rsidRPr="000E0614" w:rsidRDefault="00EA67A2" w:rsidP="000E0614">
      <w:pPr>
        <w:ind w:right="51" w:firstLine="2124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sz w:val="24"/>
          <w:szCs w:val="24"/>
        </w:rPr>
        <w:t xml:space="preserve">Art. </w:t>
      </w:r>
      <w:r w:rsidR="000E0614">
        <w:rPr>
          <w:rFonts w:ascii="Arial" w:hAnsi="Arial" w:cs="Arial"/>
          <w:b/>
          <w:bCs/>
          <w:sz w:val="24"/>
          <w:szCs w:val="24"/>
        </w:rPr>
        <w:t>3</w:t>
      </w:r>
      <w:r>
        <w:rPr>
          <w:rFonts w:ascii="Arial" w:hAnsi="Arial" w:cs="Arial"/>
          <w:b/>
          <w:bCs/>
          <w:sz w:val="24"/>
          <w:szCs w:val="24"/>
        </w:rPr>
        <w:t xml:space="preserve">º </w:t>
      </w:r>
      <w:r w:rsidRPr="00B31BF2">
        <w:rPr>
          <w:rFonts w:ascii="Arial" w:hAnsi="Arial" w:cs="Arial"/>
          <w:sz w:val="24"/>
          <w:szCs w:val="24"/>
        </w:rPr>
        <w:t>Se necessário, outras normas serão baixadas para a perfeita aplicação desta lei.</w:t>
      </w:r>
    </w:p>
    <w:p w:rsidR="00EA67A2" w:rsidRDefault="00EA67A2" w:rsidP="000E0614">
      <w:pPr>
        <w:ind w:right="51" w:firstLine="2124"/>
        <w:jc w:val="both"/>
        <w:rPr>
          <w:rFonts w:ascii="Arial" w:hAnsi="Arial" w:cs="Arial"/>
          <w:sz w:val="24"/>
          <w:szCs w:val="24"/>
        </w:rPr>
      </w:pPr>
      <w:r w:rsidRPr="00502E6D">
        <w:rPr>
          <w:rFonts w:ascii="Arial" w:hAnsi="Arial" w:cs="Arial"/>
          <w:b/>
          <w:bCs/>
          <w:sz w:val="24"/>
          <w:szCs w:val="24"/>
        </w:rPr>
        <w:t>Art</w:t>
      </w:r>
      <w:r>
        <w:rPr>
          <w:rFonts w:ascii="Arial" w:hAnsi="Arial" w:cs="Arial"/>
          <w:b/>
          <w:bCs/>
          <w:sz w:val="24"/>
          <w:szCs w:val="24"/>
        </w:rPr>
        <w:t>.</w:t>
      </w:r>
      <w:r w:rsidRPr="00502E6D">
        <w:rPr>
          <w:rFonts w:ascii="Arial" w:hAnsi="Arial" w:cs="Arial"/>
          <w:b/>
          <w:bCs/>
          <w:sz w:val="24"/>
          <w:szCs w:val="24"/>
        </w:rPr>
        <w:t xml:space="preserve"> </w:t>
      </w:r>
      <w:r w:rsidR="000E0614">
        <w:rPr>
          <w:rFonts w:ascii="Arial" w:hAnsi="Arial" w:cs="Arial"/>
          <w:b/>
          <w:bCs/>
          <w:sz w:val="24"/>
          <w:szCs w:val="24"/>
        </w:rPr>
        <w:t>4</w:t>
      </w:r>
      <w:r w:rsidRPr="00502E6D">
        <w:rPr>
          <w:rFonts w:ascii="Arial" w:hAnsi="Arial" w:cs="Arial"/>
          <w:b/>
          <w:bCs/>
          <w:sz w:val="24"/>
          <w:szCs w:val="24"/>
        </w:rPr>
        <w:t>º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502E6D">
        <w:rPr>
          <w:rFonts w:ascii="Arial" w:hAnsi="Arial" w:cs="Arial"/>
          <w:sz w:val="24"/>
          <w:szCs w:val="24"/>
        </w:rPr>
        <w:t>Esta lei entra em vigor na data de sua publicação, revogadas as disposições em contrário.</w:t>
      </w:r>
    </w:p>
    <w:p w:rsidR="00EA67A2" w:rsidRPr="00502E6D" w:rsidRDefault="00EA67A2" w:rsidP="00EA67A2">
      <w:pPr>
        <w:ind w:left="567" w:right="51" w:firstLine="2835"/>
        <w:jc w:val="both"/>
        <w:rPr>
          <w:rFonts w:ascii="Arial" w:hAnsi="Arial" w:cs="Arial"/>
          <w:sz w:val="24"/>
          <w:szCs w:val="24"/>
        </w:rPr>
      </w:pPr>
    </w:p>
    <w:p w:rsidR="00EA67A2" w:rsidRDefault="00EA67A2" w:rsidP="00EA67A2">
      <w:pPr>
        <w:ind w:left="567" w:right="51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de sessões Plínio de Carvalho, </w:t>
      </w:r>
      <w:r w:rsidR="000E0614">
        <w:rPr>
          <w:rFonts w:ascii="Arial" w:hAnsi="Arial" w:cs="Arial"/>
          <w:sz w:val="24"/>
          <w:szCs w:val="24"/>
        </w:rPr>
        <w:t>15</w:t>
      </w:r>
      <w:r>
        <w:rPr>
          <w:rFonts w:ascii="Arial" w:hAnsi="Arial" w:cs="Arial"/>
          <w:sz w:val="24"/>
          <w:szCs w:val="24"/>
        </w:rPr>
        <w:t xml:space="preserve"> de </w:t>
      </w:r>
      <w:r w:rsidR="000E0614">
        <w:rPr>
          <w:rFonts w:ascii="Arial" w:hAnsi="Arial" w:cs="Arial"/>
          <w:sz w:val="24"/>
          <w:szCs w:val="24"/>
        </w:rPr>
        <w:t>junho</w:t>
      </w:r>
      <w:r>
        <w:rPr>
          <w:rFonts w:ascii="Arial" w:hAnsi="Arial" w:cs="Arial"/>
          <w:sz w:val="24"/>
          <w:szCs w:val="24"/>
        </w:rPr>
        <w:t xml:space="preserve"> de 201</w:t>
      </w:r>
      <w:r w:rsidR="000E0614"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>.</w:t>
      </w:r>
    </w:p>
    <w:p w:rsidR="00EA67A2" w:rsidRDefault="00EA67A2" w:rsidP="00EA67A2">
      <w:pPr>
        <w:ind w:left="567" w:right="51"/>
        <w:jc w:val="center"/>
        <w:rPr>
          <w:rFonts w:ascii="Arial" w:hAnsi="Arial" w:cs="Arial"/>
          <w:sz w:val="24"/>
          <w:szCs w:val="24"/>
        </w:rPr>
      </w:pPr>
    </w:p>
    <w:p w:rsidR="00EA67A2" w:rsidRDefault="00EA67A2" w:rsidP="00EA67A2">
      <w:pPr>
        <w:ind w:left="567" w:right="51"/>
        <w:jc w:val="center"/>
        <w:rPr>
          <w:rFonts w:ascii="Arial" w:hAnsi="Arial" w:cs="Arial"/>
          <w:sz w:val="24"/>
          <w:szCs w:val="24"/>
        </w:rPr>
      </w:pPr>
    </w:p>
    <w:p w:rsidR="000E0614" w:rsidRDefault="000E0614" w:rsidP="00EA67A2">
      <w:pPr>
        <w:ind w:left="567" w:right="51"/>
        <w:jc w:val="center"/>
        <w:rPr>
          <w:rFonts w:ascii="Arial" w:hAnsi="Arial" w:cs="Arial"/>
          <w:sz w:val="24"/>
          <w:szCs w:val="24"/>
        </w:rPr>
      </w:pPr>
    </w:p>
    <w:p w:rsidR="00EA67A2" w:rsidRDefault="000E0614" w:rsidP="00EA67A2">
      <w:pPr>
        <w:ind w:left="567" w:right="51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DONIZETE SIMIONI</w:t>
      </w:r>
    </w:p>
    <w:p w:rsidR="00A079A0" w:rsidRDefault="00EA67A2" w:rsidP="00A079A0">
      <w:pPr>
        <w:ind w:left="567"/>
        <w:jc w:val="center"/>
        <w:rPr>
          <w:rFonts w:ascii="Arial" w:hAnsi="Arial" w:cs="Arial"/>
          <w:sz w:val="24"/>
          <w:szCs w:val="24"/>
        </w:rPr>
      </w:pPr>
      <w:r w:rsidRPr="003B6AA9">
        <w:rPr>
          <w:rFonts w:ascii="Arial" w:hAnsi="Arial" w:cs="Arial"/>
          <w:sz w:val="24"/>
          <w:szCs w:val="24"/>
        </w:rPr>
        <w:t>Vereador</w:t>
      </w:r>
    </w:p>
    <w:p w:rsidR="00A079A0" w:rsidRPr="00EA5460" w:rsidRDefault="00A079A0" w:rsidP="00A079A0">
      <w:pPr>
        <w:pStyle w:val="SemEspaamento"/>
        <w:spacing w:before="100" w:beforeAutospacing="1" w:after="100" w:afterAutospacing="1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A5460">
        <w:rPr>
          <w:rFonts w:ascii="Arial" w:hAnsi="Arial" w:cs="Arial"/>
          <w:b/>
          <w:sz w:val="24"/>
          <w:szCs w:val="24"/>
        </w:rPr>
        <w:lastRenderedPageBreak/>
        <w:t>JUSTIFICATIVA</w:t>
      </w:r>
    </w:p>
    <w:p w:rsidR="00A079A0" w:rsidRDefault="00A079A0" w:rsidP="00A079A0">
      <w:pPr>
        <w:pStyle w:val="SemEspaamento"/>
        <w:spacing w:before="100" w:beforeAutospacing="1" w:after="100" w:afterAutospacing="1" w:line="360" w:lineRule="auto"/>
        <w:rPr>
          <w:rFonts w:ascii="Arial" w:hAnsi="Arial" w:cs="Arial"/>
          <w:sz w:val="24"/>
          <w:szCs w:val="24"/>
        </w:rPr>
      </w:pPr>
    </w:p>
    <w:p w:rsidR="00A079A0" w:rsidRDefault="00A079A0" w:rsidP="00A079A0">
      <w:pPr>
        <w:pStyle w:val="SemEspaamento"/>
        <w:spacing w:before="100" w:beforeAutospacing="1" w:after="100" w:afterAutospacing="1" w:line="360" w:lineRule="auto"/>
        <w:rPr>
          <w:rFonts w:ascii="Arial" w:hAnsi="Arial" w:cs="Arial"/>
          <w:sz w:val="24"/>
          <w:szCs w:val="24"/>
        </w:rPr>
      </w:pPr>
    </w:p>
    <w:p w:rsidR="00A079A0" w:rsidRDefault="00A079A0" w:rsidP="00A079A0">
      <w:pPr>
        <w:spacing w:before="100" w:beforeAutospacing="1" w:after="100" w:afterAutospacing="1" w:line="36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EA5460">
        <w:rPr>
          <w:rFonts w:ascii="Arial" w:eastAsia="Times New Roman" w:hAnsi="Arial" w:cs="Arial"/>
          <w:sz w:val="24"/>
          <w:szCs w:val="24"/>
          <w:lang w:eastAsia="pt-BR"/>
        </w:rPr>
        <w:t xml:space="preserve">Em 1914, a Câmara Municipal de Araraquara, presidida por Bento de Abreu Sampaio Vidal, nomeou comissão composta por Trajano Marcondes Machado, Epaminondas França e Carlos </w:t>
      </w:r>
      <w:proofErr w:type="spellStart"/>
      <w:r w:rsidRPr="00EA5460">
        <w:rPr>
          <w:rFonts w:ascii="Arial" w:eastAsia="Times New Roman" w:hAnsi="Arial" w:cs="Arial"/>
          <w:sz w:val="24"/>
          <w:szCs w:val="24"/>
          <w:lang w:eastAsia="pt-BR"/>
        </w:rPr>
        <w:t>Necke</w:t>
      </w:r>
      <w:proofErr w:type="spellEnd"/>
      <w:r w:rsidRPr="00EA5460">
        <w:rPr>
          <w:rFonts w:ascii="Arial" w:eastAsia="Times New Roman" w:hAnsi="Arial" w:cs="Arial"/>
          <w:sz w:val="24"/>
          <w:szCs w:val="24"/>
          <w:lang w:eastAsia="pt-BR"/>
        </w:rPr>
        <w:t xml:space="preserve">, para o fim de elaborar um álbum que reunisse dados sobre a cidade. O objetivo era difundir o Município e mostrar as suas qualidades. A organização ficou a cargo de Antonio M. França. A obra, além de conter um detalhado texto histórico, inclusive aquele alusivo à participação da cidade na guerra do Paraguai, através de um conjunto de fotos, principalmente do fotógrafo Perez, focaliza as personalidades políticas de 1915, bem como o aspecto da cidade, privilegiando edifícios públicos, praças e jardins, teatro, bancos, empresas industriais e comerciais e fazendas da região. Traz, </w:t>
      </w:r>
      <w:proofErr w:type="gramStart"/>
      <w:r w:rsidRPr="00EA5460">
        <w:rPr>
          <w:rFonts w:ascii="Arial" w:eastAsia="Times New Roman" w:hAnsi="Arial" w:cs="Arial"/>
          <w:sz w:val="24"/>
          <w:szCs w:val="24"/>
          <w:lang w:eastAsia="pt-BR"/>
        </w:rPr>
        <w:t>outrossim</w:t>
      </w:r>
      <w:proofErr w:type="gramEnd"/>
      <w:r w:rsidRPr="00EA5460">
        <w:rPr>
          <w:rFonts w:ascii="Arial" w:eastAsia="Times New Roman" w:hAnsi="Arial" w:cs="Arial"/>
          <w:sz w:val="24"/>
          <w:szCs w:val="24"/>
          <w:lang w:eastAsia="pt-BR"/>
        </w:rPr>
        <w:t xml:space="preserve">, dados estatísticos, dados biográficos sobre os pioneiros e homens que tiveram destaque no desenvolvimento de Araraquara, e </w:t>
      </w:r>
      <w:r>
        <w:rPr>
          <w:rFonts w:ascii="Arial" w:eastAsia="Times New Roman" w:hAnsi="Arial" w:cs="Arial"/>
          <w:sz w:val="24"/>
          <w:szCs w:val="24"/>
          <w:lang w:eastAsia="pt-BR"/>
        </w:rPr>
        <w:t xml:space="preserve">ainda traz </w:t>
      </w:r>
      <w:r w:rsidRPr="00EA5460">
        <w:rPr>
          <w:rFonts w:ascii="Arial" w:eastAsia="Times New Roman" w:hAnsi="Arial" w:cs="Arial"/>
          <w:sz w:val="24"/>
          <w:szCs w:val="24"/>
          <w:lang w:eastAsia="pt-BR"/>
        </w:rPr>
        <w:t>informações sobre os Distritos de Rincão, Américo Brasiliense, Santa Lucia e outros.</w:t>
      </w:r>
    </w:p>
    <w:p w:rsidR="00A079A0" w:rsidRPr="00F4503C" w:rsidRDefault="00A079A0" w:rsidP="00A079A0">
      <w:pPr>
        <w:spacing w:before="100" w:beforeAutospacing="1" w:after="100" w:afterAutospacing="1" w:line="360" w:lineRule="auto"/>
        <w:ind w:firstLine="708"/>
        <w:jc w:val="both"/>
        <w:rPr>
          <w:rFonts w:ascii="Arial" w:hAnsi="Arial" w:cs="Arial"/>
          <w:color w:val="222222"/>
          <w:sz w:val="24"/>
          <w:szCs w:val="24"/>
          <w:shd w:val="clear" w:color="auto" w:fill="FFFFFF"/>
        </w:rPr>
      </w:pPr>
      <w:r w:rsidRPr="00F4503C">
        <w:rPr>
          <w:rFonts w:ascii="Arial" w:eastAsia="Times New Roman" w:hAnsi="Arial" w:cs="Arial"/>
          <w:sz w:val="24"/>
          <w:szCs w:val="24"/>
          <w:lang w:eastAsia="pt-BR"/>
        </w:rPr>
        <w:t xml:space="preserve">Segundo </w:t>
      </w:r>
      <w:r w:rsidRPr="00F4503C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Vicente Augusto de Carvalho, advogado, jornalista, político, poeta e contista brasileiro, ao comentar, </w:t>
      </w:r>
      <w:r>
        <w:rPr>
          <w:rFonts w:ascii="Arial" w:hAnsi="Arial" w:cs="Arial"/>
          <w:color w:val="222222"/>
          <w:sz w:val="24"/>
          <w:szCs w:val="24"/>
          <w:shd w:val="clear" w:color="auto" w:fill="FFFFFF"/>
        </w:rPr>
        <w:t>na</w:t>
      </w:r>
      <w:r w:rsidRPr="00F4503C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época, sobre o “Álbum de Araraquara 1915”, o mesmo disse:</w:t>
      </w:r>
    </w:p>
    <w:p w:rsidR="00A079A0" w:rsidRPr="00871E29" w:rsidRDefault="00A079A0" w:rsidP="00A079A0">
      <w:pPr>
        <w:pStyle w:val="SemEspaamento"/>
        <w:spacing w:before="100" w:beforeAutospacing="1" w:after="100" w:afterAutospacing="1" w:line="276" w:lineRule="auto"/>
        <w:ind w:left="2268"/>
        <w:jc w:val="both"/>
        <w:rPr>
          <w:rFonts w:ascii="Arial" w:hAnsi="Arial" w:cs="Arial"/>
          <w:sz w:val="20"/>
          <w:szCs w:val="20"/>
          <w:lang w:eastAsia="pt-BR"/>
        </w:rPr>
      </w:pPr>
      <w:r w:rsidRPr="00871E29">
        <w:rPr>
          <w:rFonts w:ascii="Arial" w:hAnsi="Arial" w:cs="Arial"/>
          <w:sz w:val="20"/>
          <w:szCs w:val="20"/>
          <w:lang w:eastAsia="pt-BR"/>
        </w:rPr>
        <w:t xml:space="preserve">Pedem </w:t>
      </w:r>
      <w:proofErr w:type="spellStart"/>
      <w:r w:rsidRPr="00871E29">
        <w:rPr>
          <w:rFonts w:ascii="Arial" w:hAnsi="Arial" w:cs="Arial"/>
          <w:sz w:val="20"/>
          <w:szCs w:val="20"/>
          <w:lang w:eastAsia="pt-BR"/>
        </w:rPr>
        <w:t>V.as</w:t>
      </w:r>
      <w:proofErr w:type="spellEnd"/>
      <w:r w:rsidRPr="00871E29">
        <w:rPr>
          <w:rFonts w:ascii="Arial" w:hAnsi="Arial" w:cs="Arial"/>
          <w:sz w:val="20"/>
          <w:szCs w:val="20"/>
          <w:lang w:eastAsia="pt-BR"/>
        </w:rPr>
        <w:t xml:space="preserve"> </w:t>
      </w:r>
      <w:proofErr w:type="spellStart"/>
      <w:r w:rsidRPr="00871E29">
        <w:rPr>
          <w:rFonts w:ascii="Arial" w:hAnsi="Arial" w:cs="Arial"/>
          <w:sz w:val="20"/>
          <w:szCs w:val="20"/>
          <w:lang w:eastAsia="pt-BR"/>
        </w:rPr>
        <w:t>S.as</w:t>
      </w:r>
      <w:proofErr w:type="spellEnd"/>
      <w:r w:rsidRPr="00871E29">
        <w:rPr>
          <w:rFonts w:ascii="Arial" w:hAnsi="Arial" w:cs="Arial"/>
          <w:sz w:val="20"/>
          <w:szCs w:val="20"/>
          <w:lang w:eastAsia="pt-BR"/>
        </w:rPr>
        <w:t xml:space="preserve"> a minha impressão respeito á obra ALBUM DE ARARAQUARA. Posso, e com prazer o faço, declarar que essa impressão é </w:t>
      </w:r>
      <w:proofErr w:type="spellStart"/>
      <w:r w:rsidRPr="00871E29">
        <w:rPr>
          <w:rFonts w:ascii="Arial" w:hAnsi="Arial" w:cs="Arial"/>
          <w:sz w:val="20"/>
          <w:szCs w:val="20"/>
          <w:lang w:eastAsia="pt-BR"/>
        </w:rPr>
        <w:t>ecelente</w:t>
      </w:r>
      <w:proofErr w:type="spellEnd"/>
      <w:r w:rsidRPr="00871E29">
        <w:rPr>
          <w:rFonts w:ascii="Arial" w:hAnsi="Arial" w:cs="Arial"/>
          <w:sz w:val="20"/>
          <w:szCs w:val="20"/>
          <w:lang w:eastAsia="pt-BR"/>
        </w:rPr>
        <w:t xml:space="preserve">. Tem passado a proverbio que somos um </w:t>
      </w:r>
      <w:proofErr w:type="spellStart"/>
      <w:r w:rsidRPr="00871E29">
        <w:rPr>
          <w:rFonts w:ascii="Arial" w:hAnsi="Arial" w:cs="Arial"/>
          <w:sz w:val="20"/>
          <w:szCs w:val="20"/>
          <w:lang w:eastAsia="pt-BR"/>
        </w:rPr>
        <w:t>paiz</w:t>
      </w:r>
      <w:proofErr w:type="spellEnd"/>
      <w:r w:rsidRPr="00871E29">
        <w:rPr>
          <w:rFonts w:ascii="Arial" w:hAnsi="Arial" w:cs="Arial"/>
          <w:sz w:val="20"/>
          <w:szCs w:val="20"/>
          <w:lang w:eastAsia="pt-BR"/>
        </w:rPr>
        <w:t xml:space="preserve"> desconhecido — e desconhecido, sobretudo, de nós mesmos. É </w:t>
      </w:r>
      <w:proofErr w:type="gramStart"/>
      <w:r w:rsidRPr="00871E29">
        <w:rPr>
          <w:rFonts w:ascii="Arial" w:hAnsi="Arial" w:cs="Arial"/>
          <w:sz w:val="20"/>
          <w:szCs w:val="20"/>
          <w:lang w:eastAsia="pt-BR"/>
        </w:rPr>
        <w:t>natural</w:t>
      </w:r>
      <w:proofErr w:type="gramEnd"/>
      <w:r w:rsidRPr="00871E29">
        <w:rPr>
          <w:rFonts w:ascii="Arial" w:hAnsi="Arial" w:cs="Arial"/>
          <w:sz w:val="20"/>
          <w:szCs w:val="20"/>
          <w:lang w:eastAsia="pt-BR"/>
        </w:rPr>
        <w:t xml:space="preserve"> que procuremos corrigir-nos desse defeito, e que acabemos por interessar-nos mais pelas nossas cousas do que pelos interesses alheios. Temos o gosto algum tanto roceiro de preocupar-nos demais com a vida de outrem, e pouquíssimo, descuidadamente, com a nossa. Entretanto, a nossa terra e a nossa vida não são assim desinteressantes, sobretudo para nós. Cuidemos delas que vale a pena.</w:t>
      </w:r>
    </w:p>
    <w:p w:rsidR="00A079A0" w:rsidRPr="00871E29" w:rsidRDefault="00A079A0" w:rsidP="00A079A0">
      <w:pPr>
        <w:pStyle w:val="SemEspaamento"/>
        <w:spacing w:before="100" w:beforeAutospacing="1" w:after="100" w:afterAutospacing="1" w:line="276" w:lineRule="auto"/>
        <w:ind w:left="2268"/>
        <w:jc w:val="both"/>
        <w:rPr>
          <w:rFonts w:ascii="Arial" w:hAnsi="Arial" w:cs="Arial"/>
          <w:sz w:val="20"/>
          <w:szCs w:val="20"/>
          <w:lang w:eastAsia="pt-BR"/>
        </w:rPr>
      </w:pPr>
      <w:r w:rsidRPr="00871E29">
        <w:rPr>
          <w:rFonts w:ascii="Arial" w:hAnsi="Arial" w:cs="Arial"/>
          <w:sz w:val="20"/>
          <w:szCs w:val="20"/>
          <w:lang w:eastAsia="pt-BR"/>
        </w:rPr>
        <w:t xml:space="preserve">O ALBUM DE ARARAQUARA é uma pequenina, modesta contribuição para essa vasta obra necessária e </w:t>
      </w:r>
      <w:proofErr w:type="spellStart"/>
      <w:r w:rsidRPr="00871E29">
        <w:rPr>
          <w:rFonts w:ascii="Arial" w:hAnsi="Arial" w:cs="Arial"/>
          <w:sz w:val="20"/>
          <w:szCs w:val="20"/>
          <w:lang w:eastAsia="pt-BR"/>
        </w:rPr>
        <w:t>urjente</w:t>
      </w:r>
      <w:proofErr w:type="spellEnd"/>
      <w:r w:rsidRPr="00871E29">
        <w:rPr>
          <w:rFonts w:ascii="Arial" w:hAnsi="Arial" w:cs="Arial"/>
          <w:sz w:val="20"/>
          <w:szCs w:val="20"/>
          <w:lang w:eastAsia="pt-BR"/>
        </w:rPr>
        <w:t xml:space="preserve">. </w:t>
      </w:r>
      <w:proofErr w:type="spellStart"/>
      <w:r w:rsidRPr="00871E29">
        <w:rPr>
          <w:rFonts w:ascii="Arial" w:hAnsi="Arial" w:cs="Arial"/>
          <w:sz w:val="20"/>
          <w:szCs w:val="20"/>
          <w:lang w:eastAsia="pt-BR"/>
        </w:rPr>
        <w:t>Reprezenta</w:t>
      </w:r>
      <w:proofErr w:type="spellEnd"/>
      <w:r w:rsidRPr="00871E29">
        <w:rPr>
          <w:rFonts w:ascii="Arial" w:hAnsi="Arial" w:cs="Arial"/>
          <w:sz w:val="20"/>
          <w:szCs w:val="20"/>
          <w:lang w:eastAsia="pt-BR"/>
        </w:rPr>
        <w:t xml:space="preserve"> um esforço merecedor dos melhores louvores, e digno de imitação. </w:t>
      </w:r>
      <w:r w:rsidRPr="00871E29">
        <w:rPr>
          <w:rFonts w:ascii="Arial" w:hAnsi="Arial" w:cs="Arial"/>
          <w:sz w:val="20"/>
          <w:szCs w:val="20"/>
          <w:lang w:eastAsia="pt-BR"/>
        </w:rPr>
        <w:lastRenderedPageBreak/>
        <w:t xml:space="preserve">Ainda não ha muito, a </w:t>
      </w:r>
      <w:proofErr w:type="spellStart"/>
      <w:r w:rsidRPr="00871E29">
        <w:rPr>
          <w:rFonts w:ascii="Arial" w:hAnsi="Arial" w:cs="Arial"/>
          <w:sz w:val="20"/>
          <w:szCs w:val="20"/>
          <w:lang w:eastAsia="pt-BR"/>
        </w:rPr>
        <w:t>Camara</w:t>
      </w:r>
      <w:proofErr w:type="spellEnd"/>
      <w:r w:rsidRPr="00871E29">
        <w:rPr>
          <w:rFonts w:ascii="Arial" w:hAnsi="Arial" w:cs="Arial"/>
          <w:sz w:val="20"/>
          <w:szCs w:val="20"/>
          <w:lang w:eastAsia="pt-BR"/>
        </w:rPr>
        <w:t xml:space="preserve"> de Santos levava a cabo o recenseamento daquele </w:t>
      </w:r>
      <w:proofErr w:type="spellStart"/>
      <w:r w:rsidRPr="00871E29">
        <w:rPr>
          <w:rFonts w:ascii="Arial" w:hAnsi="Arial" w:cs="Arial"/>
          <w:sz w:val="20"/>
          <w:szCs w:val="20"/>
          <w:lang w:eastAsia="pt-BR"/>
        </w:rPr>
        <w:t>municipio</w:t>
      </w:r>
      <w:proofErr w:type="spellEnd"/>
      <w:r w:rsidRPr="00871E29">
        <w:rPr>
          <w:rFonts w:ascii="Arial" w:hAnsi="Arial" w:cs="Arial"/>
          <w:sz w:val="20"/>
          <w:szCs w:val="20"/>
          <w:lang w:eastAsia="pt-BR"/>
        </w:rPr>
        <w:t xml:space="preserve">; agora, a de Araraquara proporciona, por meio deste </w:t>
      </w:r>
      <w:proofErr w:type="spellStart"/>
      <w:r w:rsidRPr="00871E29">
        <w:rPr>
          <w:rFonts w:ascii="Arial" w:hAnsi="Arial" w:cs="Arial"/>
          <w:sz w:val="20"/>
          <w:szCs w:val="20"/>
          <w:lang w:eastAsia="pt-BR"/>
        </w:rPr>
        <w:t>Album</w:t>
      </w:r>
      <w:proofErr w:type="spellEnd"/>
      <w:r w:rsidRPr="00871E29">
        <w:rPr>
          <w:rFonts w:ascii="Arial" w:hAnsi="Arial" w:cs="Arial"/>
          <w:sz w:val="20"/>
          <w:szCs w:val="20"/>
          <w:lang w:eastAsia="pt-BR"/>
        </w:rPr>
        <w:t xml:space="preserve">, a organização e publicação de uma obra </w:t>
      </w:r>
      <w:proofErr w:type="spellStart"/>
      <w:r w:rsidRPr="00871E29">
        <w:rPr>
          <w:rFonts w:ascii="Arial" w:hAnsi="Arial" w:cs="Arial"/>
          <w:sz w:val="20"/>
          <w:szCs w:val="20"/>
          <w:lang w:eastAsia="pt-BR"/>
        </w:rPr>
        <w:t>utilissima</w:t>
      </w:r>
      <w:proofErr w:type="spellEnd"/>
      <w:r w:rsidRPr="00871E29">
        <w:rPr>
          <w:rFonts w:ascii="Arial" w:hAnsi="Arial" w:cs="Arial"/>
          <w:sz w:val="20"/>
          <w:szCs w:val="20"/>
          <w:lang w:eastAsia="pt-BR"/>
        </w:rPr>
        <w:t xml:space="preserve"> de documentação </w:t>
      </w:r>
      <w:proofErr w:type="spellStart"/>
      <w:r w:rsidRPr="00871E29">
        <w:rPr>
          <w:rFonts w:ascii="Arial" w:hAnsi="Arial" w:cs="Arial"/>
          <w:sz w:val="20"/>
          <w:szCs w:val="20"/>
          <w:lang w:eastAsia="pt-BR"/>
        </w:rPr>
        <w:t>historica</w:t>
      </w:r>
      <w:proofErr w:type="spellEnd"/>
      <w:r w:rsidRPr="00871E29">
        <w:rPr>
          <w:rFonts w:ascii="Arial" w:hAnsi="Arial" w:cs="Arial"/>
          <w:sz w:val="20"/>
          <w:szCs w:val="20"/>
          <w:lang w:eastAsia="pt-BR"/>
        </w:rPr>
        <w:t xml:space="preserve"> e </w:t>
      </w:r>
      <w:proofErr w:type="spellStart"/>
      <w:r w:rsidRPr="00871E29">
        <w:rPr>
          <w:rFonts w:ascii="Arial" w:hAnsi="Arial" w:cs="Arial"/>
          <w:sz w:val="20"/>
          <w:szCs w:val="20"/>
          <w:lang w:eastAsia="pt-BR"/>
        </w:rPr>
        <w:t>estatistica</w:t>
      </w:r>
      <w:proofErr w:type="spellEnd"/>
      <w:r w:rsidRPr="00871E29">
        <w:rPr>
          <w:rFonts w:ascii="Arial" w:hAnsi="Arial" w:cs="Arial"/>
          <w:sz w:val="20"/>
          <w:szCs w:val="20"/>
          <w:lang w:eastAsia="pt-BR"/>
        </w:rPr>
        <w:t xml:space="preserve"> do desenvolvimento da sua cidade. Que esses </w:t>
      </w:r>
      <w:proofErr w:type="spellStart"/>
      <w:r w:rsidRPr="00871E29">
        <w:rPr>
          <w:rFonts w:ascii="Arial" w:hAnsi="Arial" w:cs="Arial"/>
          <w:sz w:val="20"/>
          <w:szCs w:val="20"/>
          <w:lang w:eastAsia="pt-BR"/>
        </w:rPr>
        <w:t>ezemplos</w:t>
      </w:r>
      <w:proofErr w:type="spellEnd"/>
      <w:r w:rsidRPr="00871E29">
        <w:rPr>
          <w:rFonts w:ascii="Arial" w:hAnsi="Arial" w:cs="Arial"/>
          <w:sz w:val="20"/>
          <w:szCs w:val="20"/>
          <w:lang w:eastAsia="pt-BR"/>
        </w:rPr>
        <w:t xml:space="preserve">, dados em pequenas tentativas </w:t>
      </w:r>
      <w:proofErr w:type="spellStart"/>
      <w:r w:rsidRPr="00871E29">
        <w:rPr>
          <w:rFonts w:ascii="Arial" w:hAnsi="Arial" w:cs="Arial"/>
          <w:sz w:val="20"/>
          <w:szCs w:val="20"/>
          <w:lang w:eastAsia="pt-BR"/>
        </w:rPr>
        <w:t>izoladas</w:t>
      </w:r>
      <w:proofErr w:type="spellEnd"/>
      <w:r w:rsidRPr="00871E29">
        <w:rPr>
          <w:rFonts w:ascii="Arial" w:hAnsi="Arial" w:cs="Arial"/>
          <w:sz w:val="20"/>
          <w:szCs w:val="20"/>
          <w:lang w:eastAsia="pt-BR"/>
        </w:rPr>
        <w:t xml:space="preserve">, por assim dizer </w:t>
      </w:r>
      <w:proofErr w:type="spellStart"/>
      <w:r w:rsidRPr="00871E29">
        <w:rPr>
          <w:rFonts w:ascii="Arial" w:hAnsi="Arial" w:cs="Arial"/>
          <w:sz w:val="20"/>
          <w:szCs w:val="20"/>
          <w:lang w:eastAsia="pt-BR"/>
        </w:rPr>
        <w:t>individuaes</w:t>
      </w:r>
      <w:proofErr w:type="spellEnd"/>
      <w:r w:rsidRPr="00871E29">
        <w:rPr>
          <w:rFonts w:ascii="Arial" w:hAnsi="Arial" w:cs="Arial"/>
          <w:sz w:val="20"/>
          <w:szCs w:val="20"/>
          <w:lang w:eastAsia="pt-BR"/>
        </w:rPr>
        <w:t xml:space="preserve">, proliferem: e afinal a nossa terra se </w:t>
      </w:r>
      <w:proofErr w:type="spellStart"/>
      <w:r w:rsidRPr="00871E29">
        <w:rPr>
          <w:rFonts w:ascii="Arial" w:hAnsi="Arial" w:cs="Arial"/>
          <w:sz w:val="20"/>
          <w:szCs w:val="20"/>
          <w:lang w:eastAsia="pt-BR"/>
        </w:rPr>
        <w:t>abilitará</w:t>
      </w:r>
      <w:proofErr w:type="spellEnd"/>
      <w:r w:rsidRPr="00871E29">
        <w:rPr>
          <w:rFonts w:ascii="Arial" w:hAnsi="Arial" w:cs="Arial"/>
          <w:sz w:val="20"/>
          <w:szCs w:val="20"/>
          <w:lang w:eastAsia="pt-BR"/>
        </w:rPr>
        <w:t xml:space="preserve"> a conhecer-se a si mesma. Creio que melhor a conhecendo no seu passado e no seu </w:t>
      </w:r>
      <w:proofErr w:type="spellStart"/>
      <w:r w:rsidRPr="00871E29">
        <w:rPr>
          <w:rFonts w:ascii="Arial" w:hAnsi="Arial" w:cs="Arial"/>
          <w:sz w:val="20"/>
          <w:szCs w:val="20"/>
          <w:lang w:eastAsia="pt-BR"/>
        </w:rPr>
        <w:t>prezente</w:t>
      </w:r>
      <w:proofErr w:type="spellEnd"/>
      <w:r w:rsidRPr="00871E29">
        <w:rPr>
          <w:rFonts w:ascii="Arial" w:hAnsi="Arial" w:cs="Arial"/>
          <w:sz w:val="20"/>
          <w:szCs w:val="20"/>
          <w:lang w:eastAsia="pt-BR"/>
        </w:rPr>
        <w:t>, no que foi e no que se tem feito, melhor a amaremos.</w:t>
      </w:r>
    </w:p>
    <w:p w:rsidR="00A079A0" w:rsidRPr="00871E29" w:rsidRDefault="00A079A0" w:rsidP="00A079A0">
      <w:pPr>
        <w:pStyle w:val="SemEspaamento"/>
        <w:spacing w:before="100" w:beforeAutospacing="1" w:after="100" w:afterAutospacing="1" w:line="276" w:lineRule="auto"/>
        <w:ind w:left="2268"/>
        <w:jc w:val="both"/>
        <w:rPr>
          <w:rFonts w:ascii="Arial" w:hAnsi="Arial" w:cs="Arial"/>
          <w:sz w:val="20"/>
          <w:szCs w:val="20"/>
          <w:lang w:eastAsia="pt-BR"/>
        </w:rPr>
      </w:pPr>
      <w:r w:rsidRPr="00871E29">
        <w:rPr>
          <w:rFonts w:ascii="Arial" w:hAnsi="Arial" w:cs="Arial"/>
          <w:sz w:val="20"/>
          <w:szCs w:val="20"/>
          <w:lang w:eastAsia="pt-BR"/>
        </w:rPr>
        <w:t xml:space="preserve">Não tenho </w:t>
      </w:r>
      <w:proofErr w:type="spellStart"/>
      <w:r w:rsidRPr="00871E29">
        <w:rPr>
          <w:rFonts w:ascii="Arial" w:hAnsi="Arial" w:cs="Arial"/>
          <w:sz w:val="20"/>
          <w:szCs w:val="20"/>
          <w:lang w:eastAsia="pt-BR"/>
        </w:rPr>
        <w:t>sinão</w:t>
      </w:r>
      <w:proofErr w:type="spellEnd"/>
      <w:r w:rsidRPr="00871E29">
        <w:rPr>
          <w:rFonts w:ascii="Arial" w:hAnsi="Arial" w:cs="Arial"/>
          <w:sz w:val="20"/>
          <w:szCs w:val="20"/>
          <w:lang w:eastAsia="pt-BR"/>
        </w:rPr>
        <w:t xml:space="preserve"> </w:t>
      </w:r>
      <w:proofErr w:type="spellStart"/>
      <w:r w:rsidRPr="00871E29">
        <w:rPr>
          <w:rFonts w:ascii="Arial" w:hAnsi="Arial" w:cs="Arial"/>
          <w:sz w:val="20"/>
          <w:szCs w:val="20"/>
          <w:lang w:eastAsia="pt-BR"/>
        </w:rPr>
        <w:t>aplauzos</w:t>
      </w:r>
      <w:proofErr w:type="spellEnd"/>
      <w:r w:rsidRPr="00871E29">
        <w:rPr>
          <w:rFonts w:ascii="Arial" w:hAnsi="Arial" w:cs="Arial"/>
          <w:sz w:val="20"/>
          <w:szCs w:val="20"/>
          <w:lang w:eastAsia="pt-BR"/>
        </w:rPr>
        <w:t xml:space="preserve"> para a tentativa feliz que o ALBUM DE ARARAQUARA </w:t>
      </w:r>
      <w:proofErr w:type="spellStart"/>
      <w:r w:rsidRPr="00871E29">
        <w:rPr>
          <w:rFonts w:ascii="Arial" w:hAnsi="Arial" w:cs="Arial"/>
          <w:sz w:val="20"/>
          <w:szCs w:val="20"/>
          <w:lang w:eastAsia="pt-BR"/>
        </w:rPr>
        <w:t>reprezenta</w:t>
      </w:r>
      <w:proofErr w:type="spellEnd"/>
      <w:r w:rsidRPr="00871E29">
        <w:rPr>
          <w:rFonts w:ascii="Arial" w:hAnsi="Arial" w:cs="Arial"/>
          <w:sz w:val="20"/>
          <w:szCs w:val="20"/>
          <w:lang w:eastAsia="pt-BR"/>
        </w:rPr>
        <w:t xml:space="preserve">: essa tentativa, louvável na concepção, realizou-se com </w:t>
      </w:r>
      <w:proofErr w:type="spellStart"/>
      <w:r w:rsidRPr="00871E29">
        <w:rPr>
          <w:rFonts w:ascii="Arial" w:hAnsi="Arial" w:cs="Arial"/>
          <w:sz w:val="20"/>
          <w:szCs w:val="20"/>
          <w:lang w:eastAsia="pt-BR"/>
        </w:rPr>
        <w:t>ecelente</w:t>
      </w:r>
      <w:proofErr w:type="spellEnd"/>
      <w:r w:rsidRPr="00871E29">
        <w:rPr>
          <w:rFonts w:ascii="Arial" w:hAnsi="Arial" w:cs="Arial"/>
          <w:sz w:val="20"/>
          <w:szCs w:val="20"/>
          <w:lang w:eastAsia="pt-BR"/>
        </w:rPr>
        <w:t xml:space="preserve"> sucesso. Lendo-se </w:t>
      </w:r>
      <w:proofErr w:type="gramStart"/>
      <w:r w:rsidRPr="00871E29">
        <w:rPr>
          <w:rFonts w:ascii="Arial" w:hAnsi="Arial" w:cs="Arial"/>
          <w:sz w:val="20"/>
          <w:szCs w:val="20"/>
          <w:lang w:eastAsia="pt-BR"/>
        </w:rPr>
        <w:t xml:space="preserve">o consciencioso e interessante apanhado </w:t>
      </w:r>
      <w:proofErr w:type="spellStart"/>
      <w:r w:rsidRPr="00871E29">
        <w:rPr>
          <w:rFonts w:ascii="Arial" w:hAnsi="Arial" w:cs="Arial"/>
          <w:sz w:val="20"/>
          <w:szCs w:val="20"/>
          <w:lang w:eastAsia="pt-BR"/>
        </w:rPr>
        <w:t>historico</w:t>
      </w:r>
      <w:proofErr w:type="spellEnd"/>
      <w:proofErr w:type="gramEnd"/>
      <w:r w:rsidRPr="00871E29">
        <w:rPr>
          <w:rFonts w:ascii="Arial" w:hAnsi="Arial" w:cs="Arial"/>
          <w:sz w:val="20"/>
          <w:szCs w:val="20"/>
          <w:lang w:eastAsia="pt-BR"/>
        </w:rPr>
        <w:t xml:space="preserve"> com que abre a obra, e vendo-se, depois, em tantos dados de que é farto o livro, a documentação do que se fez em pouco mais de um </w:t>
      </w:r>
      <w:proofErr w:type="spellStart"/>
      <w:r w:rsidRPr="00871E29">
        <w:rPr>
          <w:rFonts w:ascii="Arial" w:hAnsi="Arial" w:cs="Arial"/>
          <w:sz w:val="20"/>
          <w:szCs w:val="20"/>
          <w:lang w:eastAsia="pt-BR"/>
        </w:rPr>
        <w:t>seculo</w:t>
      </w:r>
      <w:proofErr w:type="spellEnd"/>
      <w:r w:rsidRPr="00871E29">
        <w:rPr>
          <w:rFonts w:ascii="Arial" w:hAnsi="Arial" w:cs="Arial"/>
          <w:sz w:val="20"/>
          <w:szCs w:val="20"/>
          <w:lang w:eastAsia="pt-BR"/>
        </w:rPr>
        <w:t xml:space="preserve"> desse vago sertão de Araraquara ao qual, ainda em 1788, se referia o celebre Lacerda e Almeida, tem-se espontaneamente uma impressão consoladora de confiança… No futuro? Em nós mesmos.</w:t>
      </w:r>
    </w:p>
    <w:p w:rsidR="00A079A0" w:rsidRPr="00871E29" w:rsidRDefault="00A079A0" w:rsidP="00A079A0">
      <w:pPr>
        <w:pStyle w:val="SemEspaamento"/>
        <w:spacing w:before="100" w:beforeAutospacing="1" w:after="100" w:afterAutospacing="1" w:line="276" w:lineRule="auto"/>
        <w:ind w:left="2268"/>
        <w:jc w:val="both"/>
        <w:rPr>
          <w:rFonts w:ascii="Arial" w:hAnsi="Arial" w:cs="Arial"/>
          <w:sz w:val="20"/>
          <w:szCs w:val="20"/>
          <w:lang w:eastAsia="pt-BR"/>
        </w:rPr>
      </w:pPr>
      <w:r w:rsidRPr="00871E29">
        <w:rPr>
          <w:rFonts w:ascii="Arial" w:hAnsi="Arial" w:cs="Arial"/>
          <w:sz w:val="20"/>
          <w:szCs w:val="20"/>
          <w:lang w:eastAsia="pt-BR"/>
        </w:rPr>
        <w:t>As obras como essa valem por pequenas</w:t>
      </w:r>
      <w:proofErr w:type="gramStart"/>
      <w:r w:rsidRPr="00871E29">
        <w:rPr>
          <w:rFonts w:ascii="Arial" w:hAnsi="Arial" w:cs="Arial"/>
          <w:sz w:val="20"/>
          <w:szCs w:val="20"/>
          <w:lang w:eastAsia="pt-BR"/>
        </w:rPr>
        <w:t xml:space="preserve"> mas</w:t>
      </w:r>
      <w:proofErr w:type="gramEnd"/>
      <w:r w:rsidRPr="00871E29">
        <w:rPr>
          <w:rFonts w:ascii="Arial" w:hAnsi="Arial" w:cs="Arial"/>
          <w:sz w:val="20"/>
          <w:szCs w:val="20"/>
          <w:lang w:eastAsia="pt-BR"/>
        </w:rPr>
        <w:t xml:space="preserve"> eloquentes lições de civismo. Ensinam-nos o conhecimento </w:t>
      </w:r>
      <w:proofErr w:type="spellStart"/>
      <w:r w:rsidRPr="00871E29">
        <w:rPr>
          <w:rFonts w:ascii="Arial" w:hAnsi="Arial" w:cs="Arial"/>
          <w:sz w:val="20"/>
          <w:szCs w:val="20"/>
          <w:lang w:eastAsia="pt-BR"/>
        </w:rPr>
        <w:t>util</w:t>
      </w:r>
      <w:proofErr w:type="spellEnd"/>
      <w:r w:rsidRPr="00871E29">
        <w:rPr>
          <w:rFonts w:ascii="Arial" w:hAnsi="Arial" w:cs="Arial"/>
          <w:sz w:val="20"/>
          <w:szCs w:val="20"/>
          <w:lang w:eastAsia="pt-BR"/>
        </w:rPr>
        <w:t xml:space="preserve"> da nossa terra. </w:t>
      </w:r>
      <w:proofErr w:type="spellStart"/>
      <w:r w:rsidRPr="00871E29">
        <w:rPr>
          <w:rFonts w:ascii="Arial" w:hAnsi="Arial" w:cs="Arial"/>
          <w:sz w:val="20"/>
          <w:szCs w:val="20"/>
          <w:lang w:eastAsia="pt-BR"/>
        </w:rPr>
        <w:t>Conheçamol-a</w:t>
      </w:r>
      <w:proofErr w:type="spellEnd"/>
      <w:r w:rsidRPr="00871E29">
        <w:rPr>
          <w:rFonts w:ascii="Arial" w:hAnsi="Arial" w:cs="Arial"/>
          <w:sz w:val="20"/>
          <w:szCs w:val="20"/>
          <w:lang w:eastAsia="pt-BR"/>
        </w:rPr>
        <w:t>, ganharemos com isso o dar-lhe o amor e a estima que ela merece.</w:t>
      </w:r>
    </w:p>
    <w:p w:rsidR="00A079A0" w:rsidRPr="00871E29" w:rsidRDefault="0094068E" w:rsidP="00A079A0">
      <w:pPr>
        <w:pStyle w:val="SemEspaamento"/>
        <w:spacing w:before="100" w:beforeAutospacing="1" w:after="100" w:afterAutospacing="1" w:line="276" w:lineRule="auto"/>
        <w:ind w:left="2268"/>
        <w:jc w:val="both"/>
        <w:rPr>
          <w:rFonts w:ascii="Arial" w:hAnsi="Arial" w:cs="Arial"/>
          <w:sz w:val="20"/>
          <w:szCs w:val="20"/>
          <w:lang w:eastAsia="pt-BR"/>
        </w:rPr>
      </w:pPr>
      <w:hyperlink r:id="rId7" w:history="1">
        <w:r w:rsidR="00A079A0" w:rsidRPr="00871E29">
          <w:rPr>
            <w:rFonts w:ascii="Arial" w:hAnsi="Arial" w:cs="Arial"/>
            <w:color w:val="0000FF"/>
            <w:sz w:val="20"/>
            <w:szCs w:val="20"/>
            <w:u w:val="single"/>
            <w:lang w:eastAsia="pt-BR"/>
          </w:rPr>
          <w:t>Vicente de Carvalho</w:t>
        </w:r>
      </w:hyperlink>
    </w:p>
    <w:p w:rsidR="00A079A0" w:rsidRPr="00871E29" w:rsidRDefault="00A079A0" w:rsidP="00A079A0">
      <w:pPr>
        <w:pStyle w:val="SemEspaamento"/>
        <w:spacing w:before="100" w:beforeAutospacing="1" w:after="100" w:afterAutospacing="1" w:line="276" w:lineRule="auto"/>
        <w:ind w:left="2268"/>
        <w:jc w:val="both"/>
        <w:rPr>
          <w:rFonts w:ascii="Arial" w:hAnsi="Arial" w:cs="Arial"/>
          <w:sz w:val="20"/>
          <w:szCs w:val="20"/>
          <w:lang w:eastAsia="pt-BR"/>
        </w:rPr>
      </w:pPr>
      <w:r w:rsidRPr="00871E29">
        <w:rPr>
          <w:rFonts w:ascii="Arial" w:hAnsi="Arial" w:cs="Arial"/>
          <w:sz w:val="20"/>
          <w:szCs w:val="20"/>
          <w:lang w:eastAsia="pt-BR"/>
        </w:rPr>
        <w:t xml:space="preserve">São Paulo, </w:t>
      </w:r>
      <w:proofErr w:type="gramStart"/>
      <w:r w:rsidRPr="00871E29">
        <w:rPr>
          <w:rFonts w:ascii="Arial" w:hAnsi="Arial" w:cs="Arial"/>
          <w:sz w:val="20"/>
          <w:szCs w:val="20"/>
          <w:lang w:eastAsia="pt-BR"/>
        </w:rPr>
        <w:t>5</w:t>
      </w:r>
      <w:proofErr w:type="gramEnd"/>
      <w:r w:rsidRPr="00871E29">
        <w:rPr>
          <w:rFonts w:ascii="Arial" w:hAnsi="Arial" w:cs="Arial"/>
          <w:sz w:val="20"/>
          <w:szCs w:val="20"/>
          <w:lang w:eastAsia="pt-BR"/>
        </w:rPr>
        <w:t xml:space="preserve"> de Março de 1915</w:t>
      </w:r>
    </w:p>
    <w:p w:rsidR="00A079A0" w:rsidRPr="00871E29" w:rsidRDefault="00A079A0" w:rsidP="00A079A0">
      <w:pPr>
        <w:pStyle w:val="SemEspaamento"/>
        <w:spacing w:before="100" w:beforeAutospacing="1" w:after="100" w:afterAutospacing="1" w:line="276" w:lineRule="auto"/>
        <w:ind w:left="2268"/>
        <w:jc w:val="both"/>
        <w:rPr>
          <w:rFonts w:ascii="Arial" w:hAnsi="Arial" w:cs="Arial"/>
          <w:i/>
          <w:sz w:val="20"/>
          <w:szCs w:val="20"/>
          <w:lang w:eastAsia="pt-BR"/>
        </w:rPr>
      </w:pPr>
      <w:r w:rsidRPr="00871E29">
        <w:rPr>
          <w:rFonts w:ascii="Arial" w:eastAsia="Times New Roman" w:hAnsi="Arial" w:cs="Arial"/>
          <w:i/>
          <w:sz w:val="20"/>
          <w:szCs w:val="20"/>
          <w:lang w:eastAsia="pt-BR"/>
        </w:rPr>
        <w:t xml:space="preserve">P.S.: a grafia, aparentemente simplificada pelo Formulário Ortográfico de 1911, está mantida como se </w:t>
      </w:r>
      <w:proofErr w:type="gramStart"/>
      <w:r w:rsidRPr="00871E29">
        <w:rPr>
          <w:rFonts w:ascii="Arial" w:eastAsia="Times New Roman" w:hAnsi="Arial" w:cs="Arial"/>
          <w:i/>
          <w:sz w:val="20"/>
          <w:szCs w:val="20"/>
          <w:lang w:eastAsia="pt-BR"/>
        </w:rPr>
        <w:t>encontra,</w:t>
      </w:r>
      <w:proofErr w:type="gramEnd"/>
      <w:r w:rsidRPr="00871E29">
        <w:rPr>
          <w:rFonts w:ascii="Arial" w:eastAsia="Times New Roman" w:hAnsi="Arial" w:cs="Arial"/>
          <w:i/>
          <w:sz w:val="20"/>
          <w:szCs w:val="20"/>
          <w:lang w:eastAsia="pt-BR"/>
        </w:rPr>
        <w:t xml:space="preserve"> similar àquela empregada na edição de 1930 das obras de Gregório de Matos, publicada pela Academia Brasileira de Letras.</w:t>
      </w:r>
    </w:p>
    <w:p w:rsidR="00A079A0" w:rsidRPr="00914108" w:rsidRDefault="00A079A0" w:rsidP="00A079A0">
      <w:pPr>
        <w:pStyle w:val="SemEspaamento"/>
        <w:spacing w:before="100" w:beforeAutospacing="1" w:after="100" w:afterAutospacing="1" w:line="276" w:lineRule="auto"/>
        <w:ind w:left="2268"/>
        <w:jc w:val="both"/>
        <w:rPr>
          <w:rFonts w:ascii="Times New Roman" w:hAnsi="Times New Roman" w:cs="Times New Roman"/>
          <w:sz w:val="24"/>
          <w:szCs w:val="24"/>
          <w:lang w:eastAsia="pt-BR"/>
        </w:rPr>
      </w:pPr>
    </w:p>
    <w:p w:rsidR="00A079A0" w:rsidRDefault="00A079A0" w:rsidP="00A079A0">
      <w:pPr>
        <w:spacing w:before="100" w:beforeAutospacing="1" w:after="100" w:afterAutospacing="1" w:line="36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>
        <w:rPr>
          <w:rFonts w:ascii="Arial" w:eastAsia="Times New Roman" w:hAnsi="Arial" w:cs="Arial"/>
          <w:sz w:val="24"/>
          <w:szCs w:val="24"/>
          <w:lang w:eastAsia="pt-BR"/>
        </w:rPr>
        <w:t>Neste ano de 2015 a publicação completa 100 anos e nada melhor do que oficializá-lo como símbolo de nossa cidade em sua comemoração, em comemoração à memória e sua preservação.</w:t>
      </w:r>
    </w:p>
    <w:p w:rsidR="00A079A0" w:rsidRDefault="00A079A0" w:rsidP="00A079A0">
      <w:pPr>
        <w:spacing w:before="100" w:beforeAutospacing="1" w:after="100" w:afterAutospacing="1" w:line="36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>
        <w:rPr>
          <w:rFonts w:ascii="Arial" w:eastAsia="Times New Roman" w:hAnsi="Arial" w:cs="Arial"/>
          <w:sz w:val="24"/>
          <w:szCs w:val="24"/>
          <w:lang w:eastAsia="pt-BR"/>
        </w:rPr>
        <w:t xml:space="preserve">Anexo, algumas imagens, comparativamente com a atualidade, nas publicações do professor e historiador Rogério Belmiro Tampellini, no quadro “Quem te </w:t>
      </w:r>
      <w:proofErr w:type="gramStart"/>
      <w:r>
        <w:rPr>
          <w:rFonts w:ascii="Arial" w:eastAsia="Times New Roman" w:hAnsi="Arial" w:cs="Arial"/>
          <w:sz w:val="24"/>
          <w:szCs w:val="24"/>
          <w:lang w:eastAsia="pt-BR"/>
        </w:rPr>
        <w:t>viu,</w:t>
      </w:r>
      <w:proofErr w:type="gramEnd"/>
      <w:r>
        <w:rPr>
          <w:rFonts w:ascii="Arial" w:eastAsia="Times New Roman" w:hAnsi="Arial" w:cs="Arial"/>
          <w:sz w:val="24"/>
          <w:szCs w:val="24"/>
          <w:lang w:eastAsia="pt-BR"/>
        </w:rPr>
        <w:t xml:space="preserve"> Quem te vê”, da Folha da Cidade. </w:t>
      </w:r>
    </w:p>
    <w:p w:rsidR="00A079A0" w:rsidRDefault="00A079A0" w:rsidP="00A079A0">
      <w:pPr>
        <w:spacing w:before="100" w:beforeAutospacing="1" w:after="100" w:afterAutospacing="1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  <w:lang w:eastAsia="pt-BR"/>
        </w:rPr>
        <w:t xml:space="preserve">Por todo o exposto, pela vontade e necessidade de transformar o Álbum em verdadeiro símbolo de Araraquara e para que essa memória não se perca, </w:t>
      </w:r>
      <w:r>
        <w:rPr>
          <w:rFonts w:ascii="Arial" w:eastAsia="Times New Roman" w:hAnsi="Arial" w:cs="Arial"/>
          <w:sz w:val="24"/>
          <w:szCs w:val="24"/>
          <w:lang w:eastAsia="pt-BR"/>
        </w:rPr>
        <w:lastRenderedPageBreak/>
        <w:t>verificamos a pertinência do presente projeto em instituir o</w:t>
      </w:r>
      <w:r w:rsidRPr="00EA5460">
        <w:rPr>
          <w:rFonts w:ascii="Arial" w:hAnsi="Arial" w:cs="Arial"/>
          <w:sz w:val="24"/>
          <w:szCs w:val="24"/>
        </w:rPr>
        <w:t xml:space="preserve"> “Álbum de Araraquara 1915”</w:t>
      </w:r>
      <w:r>
        <w:rPr>
          <w:rFonts w:ascii="Arial" w:hAnsi="Arial" w:cs="Arial"/>
          <w:sz w:val="24"/>
          <w:szCs w:val="24"/>
        </w:rPr>
        <w:t xml:space="preserve"> como símbolo oficial da cidade.</w:t>
      </w:r>
    </w:p>
    <w:p w:rsidR="00A079A0" w:rsidRDefault="00A079A0" w:rsidP="00A079A0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A079A0" w:rsidRPr="00D10A20" w:rsidRDefault="00A079A0" w:rsidP="00A079A0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D10A20">
        <w:rPr>
          <w:rFonts w:ascii="Arial" w:hAnsi="Arial" w:cs="Arial"/>
          <w:sz w:val="24"/>
          <w:szCs w:val="24"/>
        </w:rPr>
        <w:t>Fontes:</w:t>
      </w:r>
    </w:p>
    <w:p w:rsidR="00A079A0" w:rsidRPr="00D10A20" w:rsidRDefault="0094068E" w:rsidP="00A079A0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hyperlink r:id="rId8" w:history="1">
        <w:r w:rsidR="00A079A0" w:rsidRPr="00D10A20">
          <w:rPr>
            <w:rStyle w:val="Hyperlink"/>
            <w:rFonts w:ascii="Arial" w:eastAsia="Times New Roman" w:hAnsi="Arial" w:cs="Arial"/>
            <w:sz w:val="24"/>
            <w:szCs w:val="24"/>
            <w:lang w:eastAsia="pt-BR"/>
          </w:rPr>
          <w:t>http://www.plataformaverri.com.br/index.php?bib=1&amp;local=book&amp;letter=A&amp;idCity=4&amp;idCategory=1&amp;idBook=12</w:t>
        </w:r>
      </w:hyperlink>
    </w:p>
    <w:p w:rsidR="00A079A0" w:rsidRPr="00D10A20" w:rsidRDefault="0094068E" w:rsidP="00A079A0">
      <w:pPr>
        <w:spacing w:after="0" w:line="360" w:lineRule="auto"/>
        <w:jc w:val="both"/>
        <w:rPr>
          <w:rStyle w:val="Hyperlink"/>
          <w:rFonts w:ascii="Arial" w:hAnsi="Arial" w:cs="Arial"/>
          <w:sz w:val="24"/>
          <w:szCs w:val="24"/>
        </w:rPr>
      </w:pPr>
      <w:hyperlink r:id="rId9" w:history="1">
        <w:r w:rsidR="00A079A0" w:rsidRPr="00D10A20">
          <w:rPr>
            <w:rStyle w:val="Hyperlink"/>
            <w:rFonts w:ascii="Arial" w:hAnsi="Arial" w:cs="Arial"/>
            <w:sz w:val="24"/>
            <w:szCs w:val="24"/>
          </w:rPr>
          <w:t>https://hepaticas.wordpress.com/2012/02/18/225-carta-aos-editores-do-album-de-araraquara-1915/</w:t>
        </w:r>
      </w:hyperlink>
    </w:p>
    <w:p w:rsidR="00A079A0" w:rsidRDefault="00A079A0" w:rsidP="00A079A0">
      <w:pPr>
        <w:spacing w:after="0" w:line="360" w:lineRule="auto"/>
        <w:jc w:val="both"/>
        <w:rPr>
          <w:rStyle w:val="Hyperlink"/>
          <w:rFonts w:ascii="Arial" w:hAnsi="Arial" w:cs="Arial"/>
          <w:sz w:val="24"/>
          <w:szCs w:val="24"/>
        </w:rPr>
      </w:pPr>
    </w:p>
    <w:p w:rsidR="00A079A0" w:rsidRPr="00D10A20" w:rsidRDefault="00A079A0" w:rsidP="00A079A0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D10A20">
        <w:rPr>
          <w:rStyle w:val="Hyperlink"/>
          <w:rFonts w:ascii="Arial" w:hAnsi="Arial" w:cs="Arial"/>
          <w:sz w:val="24"/>
          <w:szCs w:val="24"/>
        </w:rPr>
        <w:t>Contribuição: acervo Rogério Belmiro Tampellini.</w:t>
      </w:r>
    </w:p>
    <w:p w:rsidR="00A079A0" w:rsidRPr="00FB21B5" w:rsidRDefault="00A079A0" w:rsidP="00A079A0">
      <w:pPr>
        <w:spacing w:after="0" w:line="360" w:lineRule="auto"/>
        <w:ind w:firstLine="708"/>
        <w:jc w:val="both"/>
        <w:rPr>
          <w:rFonts w:ascii="Arial" w:hAnsi="Arial" w:cs="Arial"/>
          <w:sz w:val="20"/>
          <w:szCs w:val="20"/>
        </w:rPr>
      </w:pPr>
    </w:p>
    <w:p w:rsidR="00A079A0" w:rsidRDefault="00A079A0" w:rsidP="00A079A0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A079A0" w:rsidRDefault="00A079A0" w:rsidP="00A079A0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A079A0" w:rsidRDefault="00A079A0" w:rsidP="00A079A0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A079A0" w:rsidRDefault="00A079A0" w:rsidP="00A079A0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A079A0" w:rsidRPr="00FA3B1B" w:rsidRDefault="00A079A0" w:rsidP="00A079A0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FA3B1B">
        <w:rPr>
          <w:rFonts w:ascii="Arial" w:hAnsi="Arial" w:cs="Arial"/>
          <w:b/>
          <w:sz w:val="24"/>
          <w:szCs w:val="24"/>
        </w:rPr>
        <w:t>DONIZETE SIMIONI</w:t>
      </w:r>
    </w:p>
    <w:p w:rsidR="00A079A0" w:rsidRPr="00EA5460" w:rsidRDefault="00A079A0" w:rsidP="00A079A0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Vereador</w:t>
      </w:r>
    </w:p>
    <w:p w:rsidR="00A079A0" w:rsidRDefault="00A079A0" w:rsidP="000E0614">
      <w:pPr>
        <w:ind w:left="567"/>
        <w:jc w:val="center"/>
        <w:rPr>
          <w:rFonts w:ascii="Arial" w:hAnsi="Arial" w:cs="Arial"/>
          <w:sz w:val="24"/>
          <w:szCs w:val="24"/>
        </w:rPr>
      </w:pPr>
    </w:p>
    <w:sectPr w:rsidR="00A079A0" w:rsidSect="00603F4B">
      <w:headerReference w:type="default" r:id="rId10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068E" w:rsidRDefault="0094068E">
      <w:pPr>
        <w:spacing w:after="0" w:line="240" w:lineRule="auto"/>
      </w:pPr>
      <w:r>
        <w:separator/>
      </w:r>
    </w:p>
  </w:endnote>
  <w:endnote w:type="continuationSeparator" w:id="0">
    <w:p w:rsidR="0094068E" w:rsidRDefault="009406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068E" w:rsidRDefault="0094068E">
      <w:pPr>
        <w:spacing w:after="0" w:line="240" w:lineRule="auto"/>
      </w:pPr>
      <w:r>
        <w:separator/>
      </w:r>
    </w:p>
  </w:footnote>
  <w:footnote w:type="continuationSeparator" w:id="0">
    <w:p w:rsidR="0094068E" w:rsidRDefault="009406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94068E"/>
  <w:p w:rsidR="006A204B" w:rsidRDefault="006A204B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A67A2"/>
    <w:rsid w:val="000E0614"/>
    <w:rsid w:val="001005F1"/>
    <w:rsid w:val="00447520"/>
    <w:rsid w:val="00551F7F"/>
    <w:rsid w:val="00603F4B"/>
    <w:rsid w:val="00652BD3"/>
    <w:rsid w:val="006572B7"/>
    <w:rsid w:val="006A204B"/>
    <w:rsid w:val="006A785E"/>
    <w:rsid w:val="0094068E"/>
    <w:rsid w:val="00991B91"/>
    <w:rsid w:val="009B670B"/>
    <w:rsid w:val="00A079A0"/>
    <w:rsid w:val="00EA67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3F4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99"/>
    <w:rsid w:val="00EA67A2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emEspaamento">
    <w:name w:val="No Spacing"/>
    <w:uiPriority w:val="1"/>
    <w:qFormat/>
    <w:rsid w:val="00A079A0"/>
    <w:pPr>
      <w:spacing w:after="0" w:line="240" w:lineRule="auto"/>
    </w:pPr>
  </w:style>
  <w:style w:type="character" w:styleId="Hyperlink">
    <w:name w:val="Hyperlink"/>
    <w:basedOn w:val="Fontepargpadro"/>
    <w:uiPriority w:val="99"/>
    <w:unhideWhenUsed/>
    <w:rsid w:val="00A079A0"/>
    <w:rPr>
      <w:color w:val="0000FF"/>
      <w:u w:val="single"/>
    </w:rPr>
  </w:style>
  <w:style w:type="paragraph" w:styleId="Rodap">
    <w:name w:val="footer"/>
    <w:basedOn w:val="Normal"/>
    <w:link w:val="RodapChar"/>
    <w:uiPriority w:val="99"/>
    <w:unhideWhenUsed/>
    <w:rsid w:val="001005F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005F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99"/>
    <w:rsid w:val="00EA67A2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540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lataformaverri.com.br/index.php?bib=1&amp;local=book&amp;letter=A&amp;idCity=4&amp;idCategory=1&amp;idBook=12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pt.wikipedia.org/wiki/Vicente_de_Carvalho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hepaticas.wordpress.com/2012/02/18/225-carta-aos-editores-do-album-de-araraquara-1915/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864</Words>
  <Characters>4670</Characters>
  <Application>Microsoft Office Word</Application>
  <DocSecurity>0</DocSecurity>
  <Lines>38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Donizete Simioni</dc:creator>
  <cp:lastModifiedBy>Marcelo R. D. Cavalcanti</cp:lastModifiedBy>
  <cp:revision>11</cp:revision>
  <dcterms:created xsi:type="dcterms:W3CDTF">2015-06-17T15:06:00Z</dcterms:created>
  <dcterms:modified xsi:type="dcterms:W3CDTF">2015-06-30T22:15:00Z</dcterms:modified>
</cp:coreProperties>
</file>