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7A" w:rsidRDefault="00C2437A" w:rsidP="00C2437A">
      <w:pPr>
        <w:ind w:left="567" w:right="-374"/>
        <w:jc w:val="center"/>
        <w:rPr>
          <w:sz w:val="32"/>
          <w:szCs w:val="32"/>
          <w:u w:val="words"/>
        </w:rPr>
      </w:pPr>
      <w:r>
        <w:rPr>
          <w:b/>
          <w:bCs/>
          <w:sz w:val="40"/>
          <w:szCs w:val="40"/>
        </w:rPr>
        <w:t>CÂMARA MUNICIPAL DE ARARAQUARA</w:t>
      </w:r>
    </w:p>
    <w:p w:rsidR="00C2437A" w:rsidRDefault="00C2437A" w:rsidP="00C2437A">
      <w:pPr>
        <w:ind w:left="567" w:right="-374"/>
        <w:jc w:val="center"/>
        <w:rPr>
          <w:sz w:val="32"/>
          <w:szCs w:val="32"/>
          <w:u w:val="words"/>
        </w:rPr>
      </w:pPr>
    </w:p>
    <w:p w:rsidR="00C2437A" w:rsidRDefault="00C2437A" w:rsidP="00C2437A">
      <w:pPr>
        <w:ind w:left="567" w:right="-374"/>
        <w:jc w:val="center"/>
        <w:rPr>
          <w:sz w:val="32"/>
          <w:szCs w:val="32"/>
          <w:u w:val="words"/>
        </w:rPr>
      </w:pPr>
      <w:r w:rsidRPr="00C2437A">
        <w:rPr>
          <w:sz w:val="40"/>
          <w:szCs w:val="32"/>
          <w:u w:val="words"/>
        </w:rPr>
        <w:t xml:space="preserve">COMISSÃO DE JUSTIÇA, LEGISLAÇÃO E </w:t>
      </w:r>
      <w:proofErr w:type="gramStart"/>
      <w:r w:rsidRPr="00C2437A">
        <w:rPr>
          <w:sz w:val="40"/>
          <w:szCs w:val="32"/>
          <w:u w:val="words"/>
        </w:rPr>
        <w:t>REDAÇÃO</w:t>
      </w:r>
      <w:proofErr w:type="gramEnd"/>
    </w:p>
    <w:p w:rsidR="00C2437A" w:rsidRDefault="00C2437A" w:rsidP="00C2437A">
      <w:pPr>
        <w:ind w:left="567" w:right="-374"/>
        <w:jc w:val="center"/>
        <w:rPr>
          <w:sz w:val="32"/>
          <w:szCs w:val="32"/>
          <w:u w:val="words"/>
        </w:rPr>
      </w:pPr>
    </w:p>
    <w:p w:rsidR="00C2437A" w:rsidRDefault="00C2437A" w:rsidP="00C2437A">
      <w:pPr>
        <w:ind w:left="567" w:right="-374"/>
        <w:jc w:val="center"/>
        <w:rPr>
          <w:sz w:val="32"/>
          <w:szCs w:val="32"/>
          <w:u w:val="words"/>
        </w:rPr>
      </w:pPr>
    </w:p>
    <w:tbl>
      <w:tblPr>
        <w:tblStyle w:val="Tabelacomgrade"/>
        <w:tblW w:w="5527"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2"/>
        <w:gridCol w:w="1843"/>
        <w:gridCol w:w="1132"/>
      </w:tblGrid>
      <w:tr w:rsidR="00C2437A" w:rsidTr="00C2437A">
        <w:tc>
          <w:tcPr>
            <w:tcW w:w="2552" w:type="dxa"/>
            <w:hideMark/>
          </w:tcPr>
          <w:p w:rsidR="00C2437A" w:rsidRDefault="00C2437A">
            <w:pPr>
              <w:ind w:left="34"/>
              <w:jc w:val="center"/>
              <w:rPr>
                <w:sz w:val="32"/>
                <w:szCs w:val="32"/>
                <w:u w:val="words"/>
              </w:rPr>
            </w:pPr>
            <w:r>
              <w:rPr>
                <w:b/>
                <w:bCs/>
                <w:sz w:val="32"/>
                <w:szCs w:val="32"/>
              </w:rPr>
              <w:t>PARECER Nº</w:t>
            </w:r>
          </w:p>
        </w:tc>
        <w:tc>
          <w:tcPr>
            <w:tcW w:w="1843" w:type="dxa"/>
            <w:hideMark/>
          </w:tcPr>
          <w:p w:rsidR="00C2437A" w:rsidRDefault="00D167F6">
            <w:pPr>
              <w:ind w:right="-108"/>
              <w:jc w:val="center"/>
              <w:rPr>
                <w:sz w:val="32"/>
                <w:szCs w:val="32"/>
                <w:u w:val="words"/>
              </w:rPr>
            </w:pPr>
            <w:r>
              <w:rPr>
                <w:b/>
                <w:bCs/>
                <w:sz w:val="32"/>
                <w:szCs w:val="32"/>
              </w:rPr>
              <w:t>177</w:t>
            </w:r>
          </w:p>
        </w:tc>
        <w:tc>
          <w:tcPr>
            <w:tcW w:w="1132" w:type="dxa"/>
            <w:hideMark/>
          </w:tcPr>
          <w:p w:rsidR="00C2437A" w:rsidRDefault="00C2437A">
            <w:pPr>
              <w:tabs>
                <w:tab w:val="left" w:pos="600"/>
              </w:tabs>
              <w:ind w:right="96"/>
              <w:jc w:val="center"/>
              <w:rPr>
                <w:sz w:val="32"/>
                <w:szCs w:val="32"/>
                <w:u w:val="words"/>
              </w:rPr>
            </w:pPr>
            <w:r>
              <w:rPr>
                <w:b/>
                <w:bCs/>
                <w:sz w:val="32"/>
                <w:szCs w:val="32"/>
              </w:rPr>
              <w:t>/15.</w:t>
            </w:r>
          </w:p>
        </w:tc>
      </w:tr>
    </w:tbl>
    <w:p w:rsidR="00C2437A" w:rsidRDefault="00C2437A" w:rsidP="00C2437A">
      <w:pPr>
        <w:ind w:left="567" w:right="-374"/>
        <w:jc w:val="center"/>
        <w:rPr>
          <w:b/>
          <w:bCs/>
          <w:sz w:val="32"/>
          <w:szCs w:val="32"/>
        </w:rPr>
      </w:pPr>
    </w:p>
    <w:p w:rsidR="00C2437A" w:rsidRDefault="00C2437A" w:rsidP="00C2437A">
      <w:pPr>
        <w:ind w:left="567" w:right="-374"/>
        <w:jc w:val="center"/>
        <w:rPr>
          <w:rFonts w:ascii="Arial" w:hAnsi="Arial" w:cs="Arial"/>
          <w:b/>
          <w:bCs/>
          <w:sz w:val="24"/>
          <w:szCs w:val="24"/>
        </w:rPr>
      </w:pPr>
    </w:p>
    <w:p w:rsidR="00C2437A" w:rsidRDefault="00C2437A" w:rsidP="00C2437A">
      <w:pPr>
        <w:ind w:left="567" w:right="-374"/>
        <w:jc w:val="center"/>
        <w:rPr>
          <w:rFonts w:ascii="Arial" w:hAnsi="Arial" w:cs="Arial"/>
          <w:b/>
          <w:bCs/>
          <w:sz w:val="24"/>
          <w:szCs w:val="24"/>
        </w:rPr>
      </w:pPr>
    </w:p>
    <w:p w:rsidR="00C2437A" w:rsidRDefault="00C2437A" w:rsidP="00C2437A">
      <w:pPr>
        <w:ind w:left="567" w:right="-374" w:firstLine="2835"/>
        <w:jc w:val="both"/>
        <w:rPr>
          <w:rFonts w:ascii="Arial" w:hAnsi="Arial" w:cs="Arial"/>
          <w:sz w:val="24"/>
          <w:szCs w:val="24"/>
        </w:rPr>
      </w:pPr>
      <w:r>
        <w:rPr>
          <w:rFonts w:ascii="Arial" w:hAnsi="Arial" w:cs="Arial"/>
          <w:b/>
          <w:bCs/>
          <w:sz w:val="24"/>
          <w:szCs w:val="24"/>
        </w:rPr>
        <w:tab/>
      </w:r>
      <w:r>
        <w:rPr>
          <w:rFonts w:ascii="Arial" w:hAnsi="Arial" w:cs="Arial"/>
          <w:sz w:val="24"/>
          <w:szCs w:val="24"/>
        </w:rPr>
        <w:t>Esta Comissão, de conformidade com o que deliberou o plenário em sessão ordinária de 1º de junho de 2015, apresenta a inclusa redação final</w:t>
      </w:r>
      <w:r w:rsidR="005839F4">
        <w:rPr>
          <w:rFonts w:ascii="Arial" w:hAnsi="Arial" w:cs="Arial"/>
          <w:sz w:val="24"/>
          <w:szCs w:val="24"/>
        </w:rPr>
        <w:t>, com a inclusão a emenda nº 01</w:t>
      </w:r>
      <w:r>
        <w:rPr>
          <w:rFonts w:ascii="Arial" w:hAnsi="Arial" w:cs="Arial"/>
          <w:sz w:val="24"/>
          <w:szCs w:val="24"/>
        </w:rPr>
        <w:t xml:space="preserve"> ao </w:t>
      </w:r>
      <w:r w:rsidR="005839F4">
        <w:rPr>
          <w:rFonts w:ascii="Arial" w:hAnsi="Arial" w:cs="Arial"/>
          <w:sz w:val="24"/>
          <w:szCs w:val="24"/>
        </w:rPr>
        <w:t>substitutivo ao</w:t>
      </w:r>
      <w:r w:rsidR="00F95CFA">
        <w:rPr>
          <w:rFonts w:ascii="Arial" w:hAnsi="Arial" w:cs="Arial"/>
          <w:sz w:val="24"/>
          <w:szCs w:val="24"/>
        </w:rPr>
        <w:t xml:space="preserve"> </w:t>
      </w:r>
      <w:r>
        <w:rPr>
          <w:rFonts w:ascii="Arial" w:hAnsi="Arial" w:cs="Arial"/>
          <w:sz w:val="24"/>
          <w:szCs w:val="24"/>
        </w:rPr>
        <w:t xml:space="preserve">projeto de lei nº 083/15, do Executivo Municipal, que </w:t>
      </w:r>
      <w:r w:rsidR="005839F4">
        <w:rPr>
          <w:rFonts w:ascii="Arial" w:hAnsi="Arial" w:cs="Arial"/>
          <w:sz w:val="24"/>
          <w:szCs w:val="24"/>
        </w:rPr>
        <w:t>d</w:t>
      </w:r>
      <w:r w:rsidR="005839F4" w:rsidRPr="005839F4">
        <w:rPr>
          <w:rFonts w:ascii="Arial" w:hAnsi="Arial" w:cs="Arial"/>
          <w:sz w:val="24"/>
          <w:szCs w:val="24"/>
        </w:rPr>
        <w:t>ispõe sobre as condições que autorizam o porte de arma de fogo pelos Guardas Civis Municipais, bem como sobre a criação da Ouvidoria Municipal, alterando a Estrutura Hierárquica e Organizacional da Secretaria Municipal de Segurança Pública (art. 8º da Lei Municipal nº 6.930/09) e dá outras providências.</w:t>
      </w:r>
    </w:p>
    <w:p w:rsidR="005839F4" w:rsidRDefault="005839F4" w:rsidP="00C2437A">
      <w:pPr>
        <w:ind w:left="567" w:right="-374" w:firstLine="2835"/>
        <w:jc w:val="both"/>
        <w:rPr>
          <w:rFonts w:ascii="Arial" w:hAnsi="Arial" w:cs="Arial"/>
          <w:sz w:val="24"/>
          <w:szCs w:val="24"/>
        </w:rPr>
      </w:pPr>
    </w:p>
    <w:p w:rsidR="00C2437A" w:rsidRDefault="00C2437A" w:rsidP="00C2437A">
      <w:pPr>
        <w:ind w:left="567" w:right="-374" w:firstLine="2835"/>
        <w:jc w:val="both"/>
        <w:rPr>
          <w:rFonts w:ascii="Arial" w:hAnsi="Arial" w:cs="Arial"/>
          <w:sz w:val="24"/>
          <w:szCs w:val="24"/>
        </w:rPr>
      </w:pPr>
      <w:r>
        <w:rPr>
          <w:rFonts w:ascii="Arial" w:hAnsi="Arial" w:cs="Arial"/>
          <w:sz w:val="24"/>
          <w:szCs w:val="24"/>
        </w:rPr>
        <w:tab/>
        <w:t>É o parecer, s.m.j.</w:t>
      </w:r>
    </w:p>
    <w:p w:rsidR="00C2437A" w:rsidRDefault="00C2437A" w:rsidP="00C2437A">
      <w:pPr>
        <w:ind w:left="567" w:right="-374"/>
        <w:jc w:val="both"/>
        <w:rPr>
          <w:rFonts w:ascii="Arial" w:hAnsi="Arial" w:cs="Arial"/>
          <w:sz w:val="24"/>
          <w:szCs w:val="24"/>
        </w:rPr>
      </w:pPr>
    </w:p>
    <w:p w:rsidR="00C2437A" w:rsidRDefault="00C2437A" w:rsidP="00C2437A">
      <w:pPr>
        <w:ind w:left="567" w:right="-374"/>
        <w:jc w:val="center"/>
        <w:rPr>
          <w:rFonts w:ascii="Arial" w:hAnsi="Arial" w:cs="Arial"/>
          <w:b/>
          <w:bCs/>
          <w:sz w:val="24"/>
          <w:szCs w:val="24"/>
        </w:rPr>
      </w:pPr>
      <w:r>
        <w:rPr>
          <w:rFonts w:ascii="Arial" w:hAnsi="Arial" w:cs="Arial"/>
          <w:b/>
          <w:bCs/>
          <w:sz w:val="24"/>
          <w:szCs w:val="24"/>
        </w:rPr>
        <w:t>Sala de reuniões das comissões, 02 de junho de 2015.</w:t>
      </w:r>
    </w:p>
    <w:p w:rsidR="00C2437A" w:rsidRDefault="00C2437A" w:rsidP="00C2437A">
      <w:pPr>
        <w:ind w:left="567" w:right="-374"/>
        <w:jc w:val="center"/>
        <w:rPr>
          <w:rFonts w:ascii="Arial" w:hAnsi="Arial" w:cs="Arial"/>
          <w:b/>
          <w:bCs/>
          <w:sz w:val="24"/>
          <w:szCs w:val="24"/>
        </w:rPr>
      </w:pPr>
    </w:p>
    <w:p w:rsidR="00C2437A" w:rsidRDefault="00C2437A" w:rsidP="00C2437A">
      <w:pPr>
        <w:ind w:left="567" w:right="-374"/>
        <w:jc w:val="center"/>
        <w:rPr>
          <w:rFonts w:ascii="Arial" w:hAnsi="Arial" w:cs="Arial"/>
          <w:b/>
          <w:bCs/>
          <w:sz w:val="24"/>
          <w:szCs w:val="24"/>
        </w:rPr>
      </w:pPr>
    </w:p>
    <w:p w:rsidR="00C2437A" w:rsidRDefault="00C2437A" w:rsidP="00C2437A">
      <w:pPr>
        <w:ind w:left="567" w:right="-374"/>
        <w:rPr>
          <w:rFonts w:ascii="Arial" w:hAnsi="Arial" w:cs="Arial"/>
          <w:sz w:val="24"/>
          <w:szCs w:val="24"/>
        </w:rPr>
      </w:pPr>
      <w:r>
        <w:rPr>
          <w:rFonts w:ascii="Arial" w:hAnsi="Arial" w:cs="Arial"/>
          <w:sz w:val="24"/>
          <w:szCs w:val="24"/>
        </w:rPr>
        <w:t xml:space="preserve">                 ____________________________________</w:t>
      </w:r>
      <w:proofErr w:type="gramStart"/>
      <w:r>
        <w:rPr>
          <w:rFonts w:ascii="Arial" w:hAnsi="Arial" w:cs="Arial"/>
          <w:sz w:val="24"/>
          <w:szCs w:val="24"/>
        </w:rPr>
        <w:t xml:space="preserve">  </w:t>
      </w:r>
      <w:proofErr w:type="gramEnd"/>
      <w:r>
        <w:rPr>
          <w:rFonts w:ascii="Arial" w:hAnsi="Arial" w:cs="Arial"/>
          <w:sz w:val="24"/>
          <w:szCs w:val="24"/>
        </w:rPr>
        <w:t>Presidente e Relator</w:t>
      </w:r>
    </w:p>
    <w:p w:rsidR="00C2437A" w:rsidRDefault="00C2437A" w:rsidP="00C2437A">
      <w:pPr>
        <w:ind w:left="567" w:right="-374"/>
        <w:rPr>
          <w:rFonts w:ascii="Arial" w:hAnsi="Arial" w:cs="Arial"/>
          <w:b/>
          <w:sz w:val="24"/>
          <w:szCs w:val="24"/>
        </w:rPr>
      </w:pPr>
      <w:r>
        <w:rPr>
          <w:rFonts w:ascii="Arial" w:hAnsi="Arial" w:cs="Arial"/>
          <w:sz w:val="24"/>
          <w:szCs w:val="24"/>
        </w:rPr>
        <w:t xml:space="preserve">                            </w:t>
      </w:r>
      <w:r>
        <w:rPr>
          <w:rFonts w:ascii="Arial" w:hAnsi="Arial" w:cs="Arial"/>
          <w:b/>
          <w:sz w:val="24"/>
          <w:szCs w:val="24"/>
        </w:rPr>
        <w:t>Farmacêutico Jéferson Yashuda</w:t>
      </w:r>
    </w:p>
    <w:p w:rsidR="00C2437A" w:rsidRDefault="00C2437A" w:rsidP="00C2437A">
      <w:pPr>
        <w:ind w:left="567" w:right="-374"/>
        <w:rPr>
          <w:rFonts w:ascii="Arial" w:hAnsi="Arial" w:cs="Arial"/>
          <w:b/>
          <w:sz w:val="24"/>
          <w:szCs w:val="24"/>
        </w:rPr>
      </w:pPr>
    </w:p>
    <w:p w:rsidR="00C2437A" w:rsidRDefault="00C2437A" w:rsidP="00C2437A">
      <w:pPr>
        <w:ind w:left="567" w:right="-374"/>
        <w:rPr>
          <w:rFonts w:ascii="Arial" w:hAnsi="Arial" w:cs="Arial"/>
          <w:b/>
          <w:sz w:val="24"/>
          <w:szCs w:val="24"/>
        </w:rPr>
      </w:pPr>
      <w:r>
        <w:rPr>
          <w:rFonts w:ascii="Arial" w:hAnsi="Arial" w:cs="Arial"/>
          <w:b/>
          <w:sz w:val="24"/>
          <w:szCs w:val="24"/>
        </w:rPr>
        <w:t xml:space="preserve">                                            </w:t>
      </w:r>
    </w:p>
    <w:p w:rsidR="00C2437A" w:rsidRDefault="00C2437A" w:rsidP="00C2437A">
      <w:pPr>
        <w:ind w:left="567" w:right="-374"/>
        <w:rPr>
          <w:rFonts w:ascii="Arial" w:hAnsi="Arial" w:cs="Arial"/>
          <w:b/>
          <w:sz w:val="24"/>
          <w:szCs w:val="24"/>
        </w:rPr>
      </w:pPr>
    </w:p>
    <w:p w:rsidR="00C2437A" w:rsidRDefault="00C2437A" w:rsidP="00C2437A">
      <w:pPr>
        <w:ind w:left="567" w:right="-374"/>
        <w:rPr>
          <w:rFonts w:ascii="Arial" w:hAnsi="Arial" w:cs="Arial"/>
          <w:sz w:val="24"/>
          <w:szCs w:val="24"/>
        </w:rPr>
      </w:pPr>
      <w:r>
        <w:rPr>
          <w:rFonts w:ascii="Arial" w:hAnsi="Arial" w:cs="Arial"/>
          <w:sz w:val="24"/>
          <w:szCs w:val="24"/>
        </w:rPr>
        <w:t xml:space="preserve">                 ____________________________________</w:t>
      </w:r>
    </w:p>
    <w:p w:rsidR="00C2437A" w:rsidRDefault="00C2437A" w:rsidP="00C2437A">
      <w:pPr>
        <w:ind w:left="567" w:right="-374"/>
        <w:rPr>
          <w:rFonts w:ascii="Arial" w:hAnsi="Arial" w:cs="Arial"/>
          <w:b/>
          <w:sz w:val="24"/>
          <w:szCs w:val="24"/>
        </w:rPr>
      </w:pPr>
      <w:r>
        <w:rPr>
          <w:rFonts w:ascii="Arial" w:hAnsi="Arial" w:cs="Arial"/>
          <w:b/>
          <w:sz w:val="24"/>
          <w:szCs w:val="24"/>
        </w:rPr>
        <w:t xml:space="preserve">                                          Roberval Fraiz</w:t>
      </w:r>
    </w:p>
    <w:p w:rsidR="00C2437A" w:rsidRDefault="00C2437A" w:rsidP="00C2437A">
      <w:pPr>
        <w:ind w:left="567" w:right="-374"/>
        <w:rPr>
          <w:rFonts w:ascii="Arial" w:hAnsi="Arial" w:cs="Arial"/>
          <w:b/>
          <w:sz w:val="24"/>
          <w:szCs w:val="24"/>
        </w:rPr>
      </w:pPr>
    </w:p>
    <w:p w:rsidR="00C2437A" w:rsidRDefault="00C2437A" w:rsidP="00C2437A">
      <w:pPr>
        <w:ind w:left="567" w:right="-374"/>
        <w:rPr>
          <w:rFonts w:ascii="Arial" w:hAnsi="Arial" w:cs="Arial"/>
          <w:sz w:val="24"/>
          <w:szCs w:val="24"/>
        </w:rPr>
      </w:pPr>
    </w:p>
    <w:p w:rsidR="00C2437A" w:rsidRDefault="00C2437A" w:rsidP="00C2437A">
      <w:pPr>
        <w:ind w:left="567" w:right="-374"/>
        <w:rPr>
          <w:rFonts w:ascii="Arial" w:hAnsi="Arial" w:cs="Arial"/>
          <w:sz w:val="24"/>
          <w:szCs w:val="24"/>
        </w:rPr>
      </w:pPr>
      <w:r>
        <w:rPr>
          <w:rFonts w:ascii="Arial" w:hAnsi="Arial" w:cs="Arial"/>
          <w:sz w:val="24"/>
          <w:szCs w:val="24"/>
        </w:rPr>
        <w:t xml:space="preserve">                 ____________________________________</w:t>
      </w:r>
    </w:p>
    <w:p w:rsidR="00C2437A" w:rsidRDefault="00C2437A" w:rsidP="00C2437A">
      <w:pPr>
        <w:ind w:left="567" w:right="-374"/>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Edio</w:t>
      </w:r>
      <w:proofErr w:type="spellEnd"/>
      <w:r>
        <w:rPr>
          <w:rFonts w:ascii="Arial" w:hAnsi="Arial" w:cs="Arial"/>
          <w:b/>
          <w:sz w:val="24"/>
          <w:szCs w:val="24"/>
        </w:rPr>
        <w:t xml:space="preserve"> Lopes</w:t>
      </w:r>
    </w:p>
    <w:p w:rsidR="00C2437A" w:rsidRDefault="00C2437A" w:rsidP="00C2437A">
      <w:pPr>
        <w:ind w:left="567" w:right="-374"/>
        <w:rPr>
          <w:rFonts w:ascii="Arial" w:hAnsi="Arial" w:cs="Arial"/>
          <w:sz w:val="24"/>
          <w:szCs w:val="24"/>
        </w:rPr>
      </w:pPr>
    </w:p>
    <w:p w:rsidR="00C2437A" w:rsidRDefault="00C2437A" w:rsidP="00C2437A">
      <w:pPr>
        <w:ind w:left="567" w:right="-374"/>
        <w:rPr>
          <w:rFonts w:ascii="Times New Roman" w:hAnsi="Times New Roman" w:cs="Times New Roman"/>
          <w:sz w:val="20"/>
          <w:szCs w:val="20"/>
        </w:rPr>
      </w:pPr>
      <w:r>
        <w:rPr>
          <w:rFonts w:ascii="Arial" w:hAnsi="Arial" w:cs="Arial"/>
          <w:sz w:val="16"/>
          <w:szCs w:val="16"/>
        </w:rPr>
        <w:t>MRDC/</w:t>
      </w: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bookmarkStart w:id="0" w:name="_GoBack"/>
      <w:bookmarkEnd w:id="0"/>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jc w:val="center"/>
        <w:rPr>
          <w:rFonts w:ascii="Times New Roman" w:hAnsi="Times New Roman" w:cs="Times New Roman"/>
          <w:sz w:val="32"/>
          <w:szCs w:val="32"/>
          <w:u w:val="words"/>
        </w:rPr>
      </w:pPr>
      <w:r>
        <w:rPr>
          <w:b/>
          <w:bCs/>
          <w:sz w:val="40"/>
          <w:szCs w:val="40"/>
        </w:rPr>
        <w:t>CÂMARA MUNICIPAL DE ARARAQUARA</w:t>
      </w:r>
    </w:p>
    <w:p w:rsidR="00C2437A" w:rsidRDefault="00C2437A" w:rsidP="00C2437A">
      <w:pPr>
        <w:ind w:left="567" w:right="-374"/>
        <w:jc w:val="center"/>
        <w:rPr>
          <w:sz w:val="32"/>
          <w:szCs w:val="32"/>
          <w:u w:val="words"/>
        </w:rPr>
      </w:pPr>
    </w:p>
    <w:p w:rsidR="00C2437A" w:rsidRDefault="00C2437A" w:rsidP="00C2437A">
      <w:pPr>
        <w:ind w:left="567" w:right="-374"/>
        <w:jc w:val="center"/>
        <w:rPr>
          <w:sz w:val="32"/>
          <w:szCs w:val="32"/>
          <w:u w:val="words"/>
        </w:rPr>
      </w:pPr>
      <w:r w:rsidRPr="00C2437A">
        <w:rPr>
          <w:sz w:val="40"/>
          <w:szCs w:val="32"/>
          <w:u w:val="words"/>
        </w:rPr>
        <w:t xml:space="preserve">COMISSÃO DE JUSTIÇA, LEGISLAÇÃO E </w:t>
      </w:r>
      <w:proofErr w:type="gramStart"/>
      <w:r w:rsidRPr="00C2437A">
        <w:rPr>
          <w:sz w:val="40"/>
          <w:szCs w:val="32"/>
          <w:u w:val="words"/>
        </w:rPr>
        <w:t>REDAÇÃO</w:t>
      </w:r>
      <w:proofErr w:type="gramEnd"/>
    </w:p>
    <w:p w:rsidR="00C2437A" w:rsidRDefault="00C2437A" w:rsidP="00C2437A">
      <w:pPr>
        <w:ind w:left="567" w:right="-374"/>
        <w:jc w:val="center"/>
        <w:rPr>
          <w:sz w:val="32"/>
          <w:szCs w:val="32"/>
          <w:u w:val="words"/>
        </w:rPr>
      </w:pPr>
    </w:p>
    <w:p w:rsidR="00C2437A" w:rsidRDefault="00C2437A" w:rsidP="00C2437A">
      <w:pPr>
        <w:ind w:left="567" w:right="-374"/>
        <w:jc w:val="center"/>
        <w:rPr>
          <w:sz w:val="32"/>
          <w:szCs w:val="32"/>
          <w:u w:val="words"/>
        </w:rPr>
      </w:pPr>
    </w:p>
    <w:p w:rsidR="00C2437A" w:rsidRDefault="00C2437A" w:rsidP="00C2437A">
      <w:pPr>
        <w:ind w:left="567" w:right="-374"/>
        <w:jc w:val="center"/>
        <w:rPr>
          <w:b/>
          <w:bCs/>
          <w:sz w:val="32"/>
          <w:szCs w:val="32"/>
        </w:rPr>
      </w:pPr>
      <w:r>
        <w:rPr>
          <w:b/>
          <w:bCs/>
          <w:sz w:val="32"/>
          <w:szCs w:val="32"/>
        </w:rPr>
        <w:t>PROJETO DE LEI Nº</w:t>
      </w:r>
      <w:proofErr w:type="gramStart"/>
      <w:r w:rsidR="00F95CFA">
        <w:rPr>
          <w:b/>
          <w:bCs/>
          <w:sz w:val="32"/>
          <w:szCs w:val="32"/>
        </w:rPr>
        <w:t xml:space="preserve">  </w:t>
      </w:r>
      <w:proofErr w:type="gramEnd"/>
      <w:r w:rsidR="00F95CFA">
        <w:rPr>
          <w:b/>
          <w:bCs/>
          <w:sz w:val="32"/>
          <w:szCs w:val="32"/>
        </w:rPr>
        <w:t>083</w:t>
      </w:r>
      <w:r>
        <w:rPr>
          <w:b/>
          <w:bCs/>
          <w:sz w:val="32"/>
          <w:szCs w:val="32"/>
        </w:rPr>
        <w:t>/15.</w:t>
      </w:r>
    </w:p>
    <w:p w:rsidR="00C2437A" w:rsidRDefault="00C2437A" w:rsidP="00C2437A">
      <w:pPr>
        <w:ind w:left="567" w:right="-374"/>
        <w:jc w:val="center"/>
        <w:rPr>
          <w:rFonts w:ascii="Arial" w:hAnsi="Arial" w:cs="Arial"/>
          <w:b/>
          <w:bCs/>
          <w:sz w:val="24"/>
          <w:szCs w:val="24"/>
        </w:rPr>
      </w:pPr>
    </w:p>
    <w:p w:rsidR="00C2437A" w:rsidRDefault="00C2437A" w:rsidP="00C2437A">
      <w:pPr>
        <w:ind w:left="567" w:right="-374"/>
        <w:jc w:val="center"/>
        <w:rPr>
          <w:rFonts w:ascii="Arial" w:hAnsi="Arial" w:cs="Arial"/>
          <w:b/>
          <w:bCs/>
          <w:sz w:val="24"/>
          <w:szCs w:val="24"/>
        </w:rPr>
      </w:pPr>
    </w:p>
    <w:p w:rsidR="00F95CFA" w:rsidRDefault="00F95CFA" w:rsidP="00F95CFA">
      <w:pPr>
        <w:ind w:left="3540"/>
        <w:jc w:val="both"/>
        <w:rPr>
          <w:rFonts w:eastAsia="Times New Roman" w:cstheme="minorHAnsi"/>
          <w:sz w:val="24"/>
          <w:szCs w:val="24"/>
        </w:rPr>
      </w:pPr>
      <w:r>
        <w:rPr>
          <w:rFonts w:eastAsia="Times New Roman" w:cstheme="minorHAnsi"/>
          <w:sz w:val="24"/>
          <w:szCs w:val="24"/>
        </w:rPr>
        <w:t>Dispõe sobre as condições que autorizam o porte de arma de fogo pelos Guardas Civis Municipais, bem como sobre a criação da Ouvidoria Municipal, alterando a Estrutura Hierárquica e Organizacional da Secretaria Municipal de Segurança Pública, e dá outras providências.</w:t>
      </w:r>
    </w:p>
    <w:p w:rsidR="00F95CFA" w:rsidRDefault="00F95CFA" w:rsidP="00F95CFA">
      <w:pPr>
        <w:ind w:left="5103"/>
        <w:jc w:val="both"/>
        <w:rPr>
          <w:rFonts w:eastAsia="Times New Roman" w:cstheme="minorHAnsi"/>
          <w:sz w:val="24"/>
          <w:szCs w:val="24"/>
        </w:rPr>
      </w:pPr>
    </w:p>
    <w:p w:rsidR="00F95CFA" w:rsidRDefault="00F95CFA" w:rsidP="00F95CFA">
      <w:pPr>
        <w:ind w:firstLine="567"/>
        <w:jc w:val="both"/>
        <w:rPr>
          <w:rFonts w:eastAsia="Times New Roman" w:cstheme="minorHAnsi"/>
          <w:sz w:val="24"/>
          <w:szCs w:val="24"/>
        </w:rPr>
      </w:pPr>
    </w:p>
    <w:p w:rsidR="00F95CFA" w:rsidRDefault="00F95CFA" w:rsidP="00F95CFA">
      <w:pPr>
        <w:ind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CAPÍTULO I</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Do Porte da Arma de Fogo</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 </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Seção I</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Do Porte e Aplicação dos Preceitos</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936578" w:rsidRPr="00936578" w:rsidRDefault="00F95CFA" w:rsidP="00936578">
      <w:pPr>
        <w:ind w:left="567" w:right="-567" w:firstLine="2880"/>
        <w:jc w:val="both"/>
        <w:rPr>
          <w:rFonts w:cs="Arial"/>
          <w:color w:val="000000"/>
          <w:sz w:val="24"/>
          <w:szCs w:val="24"/>
        </w:rPr>
      </w:pPr>
      <w:r>
        <w:rPr>
          <w:rFonts w:eastAsia="Times New Roman" w:cstheme="minorHAnsi"/>
          <w:b/>
          <w:sz w:val="24"/>
          <w:szCs w:val="24"/>
        </w:rPr>
        <w:t>Art. 1º</w:t>
      </w:r>
      <w:r>
        <w:rPr>
          <w:rFonts w:eastAsia="Times New Roman" w:cstheme="minorHAnsi"/>
          <w:sz w:val="24"/>
          <w:szCs w:val="24"/>
        </w:rPr>
        <w:t xml:space="preserve">  </w:t>
      </w:r>
      <w:r w:rsidR="00936578" w:rsidRPr="00936578">
        <w:rPr>
          <w:rFonts w:cs="Arial"/>
          <w:color w:val="000000"/>
          <w:sz w:val="24"/>
          <w:szCs w:val="24"/>
        </w:rPr>
        <w:t xml:space="preserve">O porte de arma de fogo será concedido ao Guarda Civil Municipal lotado na Secretaria Municipal de Segurança Pública, que preencher, na seguinte ordem, as condições abaixo elencadas: </w:t>
      </w:r>
    </w:p>
    <w:p w:rsidR="00936578" w:rsidRPr="00936578" w:rsidRDefault="00936578" w:rsidP="00936578">
      <w:pPr>
        <w:ind w:left="567" w:right="-567" w:firstLine="2880"/>
        <w:jc w:val="both"/>
        <w:rPr>
          <w:rFonts w:cs="Arial"/>
          <w:color w:val="000000"/>
          <w:sz w:val="24"/>
          <w:szCs w:val="24"/>
        </w:rPr>
      </w:pPr>
    </w:p>
    <w:p w:rsidR="00936578" w:rsidRPr="00936578" w:rsidRDefault="00936578" w:rsidP="00936578">
      <w:pPr>
        <w:ind w:left="3294" w:right="-709" w:firstLine="153"/>
        <w:jc w:val="both"/>
        <w:rPr>
          <w:rFonts w:cs="Arial"/>
          <w:color w:val="000000"/>
          <w:sz w:val="24"/>
          <w:szCs w:val="24"/>
        </w:rPr>
      </w:pPr>
      <w:r w:rsidRPr="00936578">
        <w:rPr>
          <w:rFonts w:cs="Arial"/>
          <w:bCs/>
          <w:color w:val="000000"/>
          <w:sz w:val="24"/>
          <w:szCs w:val="24"/>
        </w:rPr>
        <w:t>I</w:t>
      </w:r>
      <w:r w:rsidRPr="00936578">
        <w:rPr>
          <w:rFonts w:cs="Arial"/>
          <w:color w:val="000000"/>
          <w:sz w:val="24"/>
          <w:szCs w:val="24"/>
        </w:rPr>
        <w:t xml:space="preserve"> - ser aprovado em teste de capacidade psicológica;</w:t>
      </w:r>
    </w:p>
    <w:p w:rsidR="00936578" w:rsidRPr="00936578" w:rsidRDefault="00936578" w:rsidP="00936578">
      <w:pPr>
        <w:ind w:left="567" w:right="-567" w:firstLine="2880"/>
        <w:jc w:val="both"/>
        <w:rPr>
          <w:rFonts w:cs="Arial"/>
          <w:color w:val="000000"/>
          <w:sz w:val="24"/>
          <w:szCs w:val="24"/>
        </w:rPr>
      </w:pPr>
    </w:p>
    <w:p w:rsidR="00936578" w:rsidRPr="00936578" w:rsidRDefault="00936578" w:rsidP="00936578">
      <w:pPr>
        <w:ind w:left="567" w:right="-567" w:firstLine="2880"/>
        <w:jc w:val="both"/>
        <w:rPr>
          <w:rFonts w:cs="Arial"/>
          <w:color w:val="000000"/>
          <w:sz w:val="24"/>
          <w:szCs w:val="24"/>
        </w:rPr>
      </w:pPr>
      <w:r w:rsidRPr="00936578">
        <w:rPr>
          <w:rFonts w:cs="Arial"/>
          <w:bCs/>
          <w:color w:val="000000"/>
          <w:sz w:val="24"/>
          <w:szCs w:val="24"/>
        </w:rPr>
        <w:t>II</w:t>
      </w:r>
      <w:r w:rsidRPr="00936578">
        <w:rPr>
          <w:rFonts w:cs="Arial"/>
          <w:color w:val="000000"/>
          <w:sz w:val="24"/>
          <w:szCs w:val="24"/>
        </w:rPr>
        <w:t xml:space="preserve"> - ser aprovado em exame toxicológico;</w:t>
      </w:r>
    </w:p>
    <w:p w:rsidR="00936578" w:rsidRPr="00936578" w:rsidRDefault="00936578" w:rsidP="00936578">
      <w:pPr>
        <w:ind w:left="567" w:right="-567" w:firstLine="2880"/>
        <w:jc w:val="center"/>
        <w:rPr>
          <w:rFonts w:cs="Arial"/>
          <w:color w:val="000000"/>
          <w:sz w:val="24"/>
          <w:szCs w:val="24"/>
        </w:rPr>
      </w:pPr>
    </w:p>
    <w:p w:rsidR="00936578" w:rsidRPr="00936578" w:rsidRDefault="00936578" w:rsidP="00936578">
      <w:pPr>
        <w:ind w:left="567" w:right="-567" w:firstLine="2880"/>
        <w:jc w:val="both"/>
        <w:rPr>
          <w:rFonts w:cs="Arial"/>
          <w:color w:val="000000"/>
          <w:sz w:val="24"/>
          <w:szCs w:val="24"/>
        </w:rPr>
      </w:pPr>
      <w:r w:rsidRPr="00936578">
        <w:rPr>
          <w:rFonts w:cs="Arial"/>
          <w:bCs/>
          <w:color w:val="000000"/>
          <w:sz w:val="24"/>
          <w:szCs w:val="24"/>
        </w:rPr>
        <w:t>III</w:t>
      </w:r>
      <w:r w:rsidRPr="00936578">
        <w:rPr>
          <w:rFonts w:cs="Arial"/>
          <w:color w:val="000000"/>
          <w:sz w:val="24"/>
          <w:szCs w:val="24"/>
        </w:rPr>
        <w:t xml:space="preserve"> - ser aprovado em investigação social;</w:t>
      </w:r>
    </w:p>
    <w:p w:rsidR="00936578" w:rsidRPr="00936578" w:rsidRDefault="00936578" w:rsidP="00936578">
      <w:pPr>
        <w:ind w:left="567" w:right="-567" w:firstLine="2880"/>
        <w:jc w:val="both"/>
        <w:rPr>
          <w:rFonts w:cs="Arial"/>
          <w:color w:val="000000"/>
          <w:sz w:val="24"/>
          <w:szCs w:val="24"/>
        </w:rPr>
      </w:pPr>
    </w:p>
    <w:p w:rsidR="00936578" w:rsidRPr="00936578" w:rsidRDefault="00936578" w:rsidP="00936578">
      <w:pPr>
        <w:ind w:left="567" w:right="-567" w:firstLine="2880"/>
        <w:jc w:val="both"/>
        <w:rPr>
          <w:rFonts w:cs="Arial"/>
          <w:color w:val="000000"/>
          <w:sz w:val="24"/>
          <w:szCs w:val="24"/>
        </w:rPr>
      </w:pPr>
      <w:r w:rsidRPr="00936578">
        <w:rPr>
          <w:rFonts w:cs="Arial"/>
          <w:bCs/>
          <w:color w:val="000000"/>
          <w:sz w:val="24"/>
          <w:szCs w:val="24"/>
        </w:rPr>
        <w:t>IV</w:t>
      </w:r>
      <w:r w:rsidRPr="00936578">
        <w:rPr>
          <w:rFonts w:cs="Arial"/>
          <w:color w:val="000000"/>
          <w:sz w:val="24"/>
          <w:szCs w:val="24"/>
        </w:rPr>
        <w:t xml:space="preserve"> - ser aprovado no curso de formação e requalificação profissional;</w:t>
      </w:r>
    </w:p>
    <w:p w:rsidR="00936578" w:rsidRPr="00936578" w:rsidRDefault="00936578" w:rsidP="00936578">
      <w:pPr>
        <w:ind w:left="567" w:right="-567" w:firstLine="2880"/>
        <w:jc w:val="both"/>
        <w:rPr>
          <w:rFonts w:cs="Arial"/>
          <w:color w:val="000000"/>
          <w:sz w:val="24"/>
          <w:szCs w:val="24"/>
        </w:rPr>
      </w:pPr>
    </w:p>
    <w:p w:rsidR="00F95CFA" w:rsidRPr="00936578" w:rsidRDefault="00936578" w:rsidP="00936578">
      <w:pPr>
        <w:ind w:left="567" w:firstLine="2835"/>
        <w:jc w:val="both"/>
        <w:rPr>
          <w:rFonts w:eastAsia="Times New Roman" w:cstheme="minorHAnsi"/>
          <w:sz w:val="24"/>
          <w:szCs w:val="24"/>
        </w:rPr>
      </w:pPr>
      <w:r w:rsidRPr="00936578">
        <w:rPr>
          <w:rFonts w:cs="Arial"/>
          <w:bCs/>
          <w:color w:val="000000"/>
          <w:sz w:val="24"/>
          <w:szCs w:val="24"/>
        </w:rPr>
        <w:t>V</w:t>
      </w:r>
      <w:r w:rsidRPr="00936578">
        <w:rPr>
          <w:rFonts w:cs="Arial"/>
          <w:color w:val="000000"/>
          <w:sz w:val="24"/>
          <w:szCs w:val="24"/>
        </w:rPr>
        <w:t xml:space="preserve"> - preencher os requisitos estabelecidos no art. 4° da Lei Federal nº 10.826/2003, Decreto Federal nº 5.123/2014, Instrução Normativa PF 23/2005 e Lei Federal 13.002/2014, que serão regulamentados por Decreto Municipal.</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1º</w:t>
      </w:r>
      <w:r w:rsidR="00936578">
        <w:rPr>
          <w:rFonts w:eastAsia="Times New Roman" w:cstheme="minorHAnsi"/>
          <w:b/>
          <w:sz w:val="24"/>
          <w:szCs w:val="24"/>
        </w:rPr>
        <w:t xml:space="preserve"> </w:t>
      </w:r>
      <w:r>
        <w:rPr>
          <w:rFonts w:eastAsia="Times New Roman" w:cstheme="minorHAnsi"/>
          <w:b/>
          <w:sz w:val="24"/>
          <w:szCs w:val="24"/>
        </w:rPr>
        <w:t>§</w:t>
      </w:r>
      <w:proofErr w:type="gramStart"/>
      <w:r>
        <w:rPr>
          <w:rFonts w:eastAsia="Times New Roman" w:cstheme="minorHAnsi"/>
          <w:b/>
          <w:sz w:val="24"/>
          <w:szCs w:val="24"/>
        </w:rPr>
        <w:t xml:space="preserve"> </w:t>
      </w:r>
      <w:r>
        <w:rPr>
          <w:rFonts w:eastAsia="Times New Roman" w:cstheme="minorHAnsi"/>
          <w:sz w:val="24"/>
          <w:szCs w:val="24"/>
        </w:rPr>
        <w:t xml:space="preserve"> </w:t>
      </w:r>
      <w:proofErr w:type="gramEnd"/>
      <w:r>
        <w:rPr>
          <w:rFonts w:eastAsia="Times New Roman" w:cstheme="minorHAnsi"/>
          <w:sz w:val="24"/>
          <w:szCs w:val="24"/>
        </w:rPr>
        <w:t xml:space="preserve">A sistemática da qualificação prevista no </w:t>
      </w:r>
      <w:r>
        <w:rPr>
          <w:rFonts w:eastAsia="Times New Roman" w:cstheme="minorHAnsi"/>
          <w:i/>
          <w:sz w:val="24"/>
          <w:szCs w:val="24"/>
        </w:rPr>
        <w:t>caput</w:t>
      </w:r>
      <w:r>
        <w:rPr>
          <w:rFonts w:eastAsia="Times New Roman" w:cstheme="minorHAnsi"/>
          <w:sz w:val="24"/>
          <w:szCs w:val="24"/>
        </w:rPr>
        <w:t xml:space="preserve"> será regulamentada por Decreto Municipal.</w:t>
      </w:r>
    </w:p>
    <w:p w:rsidR="00F95CFA" w:rsidRDefault="00F95CFA" w:rsidP="00F95CFA">
      <w:pPr>
        <w:autoSpaceDE w:val="0"/>
        <w:autoSpaceDN w:val="0"/>
        <w:adjustRightInd w:val="0"/>
        <w:ind w:left="567"/>
        <w:jc w:val="both"/>
        <w:rPr>
          <w:rFonts w:eastAsia="Times New Roman" w:cstheme="minorHAnsi"/>
          <w:sz w:val="24"/>
          <w:szCs w:val="24"/>
        </w:rPr>
      </w:pPr>
    </w:p>
    <w:p w:rsidR="00F95CFA" w:rsidRDefault="00F95CFA" w:rsidP="00F95CFA">
      <w:pPr>
        <w:autoSpaceDE w:val="0"/>
        <w:autoSpaceDN w:val="0"/>
        <w:adjustRightInd w:val="0"/>
        <w:ind w:left="567"/>
        <w:jc w:val="both"/>
        <w:rPr>
          <w:rFonts w:eastAsia="Times New Roman" w:cs="Arial"/>
          <w:sz w:val="24"/>
          <w:szCs w:val="24"/>
        </w:rPr>
      </w:pPr>
      <w:r>
        <w:rPr>
          <w:rFonts w:eastAsia="Times New Roman" w:cstheme="minorHAnsi"/>
          <w:sz w:val="24"/>
          <w:szCs w:val="24"/>
        </w:rPr>
        <w:lastRenderedPageBreak/>
        <w:t xml:space="preserve">                                                    </w:t>
      </w:r>
      <w:r>
        <w:rPr>
          <w:rFonts w:eastAsia="Times New Roman" w:cstheme="minorHAnsi"/>
          <w:b/>
          <w:sz w:val="24"/>
          <w:szCs w:val="24"/>
        </w:rPr>
        <w:t>2º</w:t>
      </w:r>
      <w:r w:rsidR="00936578">
        <w:rPr>
          <w:rFonts w:eastAsia="Times New Roman" w:cstheme="minorHAnsi"/>
          <w:b/>
          <w:sz w:val="24"/>
          <w:szCs w:val="24"/>
        </w:rPr>
        <w:t xml:space="preserve"> </w:t>
      </w:r>
      <w:r>
        <w:rPr>
          <w:rFonts w:eastAsia="Times New Roman" w:cstheme="minorHAnsi"/>
          <w:b/>
          <w:sz w:val="24"/>
          <w:szCs w:val="24"/>
        </w:rPr>
        <w:t>§</w:t>
      </w:r>
      <w:r>
        <w:rPr>
          <w:rFonts w:eastAsia="Times New Roman" w:cstheme="minorHAnsi"/>
          <w:sz w:val="24"/>
          <w:szCs w:val="24"/>
        </w:rPr>
        <w:t xml:space="preserve"> O Guarda Civil Municipal habilitado, conforme </w:t>
      </w:r>
      <w:r>
        <w:rPr>
          <w:rFonts w:eastAsia="Times New Roman" w:cstheme="minorHAnsi"/>
          <w:i/>
          <w:sz w:val="24"/>
          <w:szCs w:val="24"/>
        </w:rPr>
        <w:t xml:space="preserve">Caput </w:t>
      </w:r>
      <w:r>
        <w:rPr>
          <w:rFonts w:eastAsia="Times New Roman" w:cstheme="minorHAnsi"/>
          <w:sz w:val="24"/>
          <w:szCs w:val="24"/>
        </w:rPr>
        <w:t xml:space="preserve">deste artigo, deverá cumprir fielmente os princípios estabelecidos no art. 3º da Lei Federal 13.022, de 08 de agosto de 2014, </w:t>
      </w:r>
      <w:proofErr w:type="gramStart"/>
      <w:r>
        <w:rPr>
          <w:rFonts w:eastAsia="Times New Roman" w:cstheme="minorHAnsi"/>
          <w:sz w:val="24"/>
          <w:szCs w:val="24"/>
        </w:rPr>
        <w:t>sob pena</w:t>
      </w:r>
      <w:proofErr w:type="gramEnd"/>
      <w:r>
        <w:rPr>
          <w:rFonts w:eastAsia="Times New Roman" w:cstheme="minorHAnsi"/>
          <w:sz w:val="24"/>
          <w:szCs w:val="24"/>
        </w:rPr>
        <w:t xml:space="preserve"> de responsabilização penal, civil e administrativa.</w:t>
      </w:r>
    </w:p>
    <w:p w:rsidR="00F95CFA" w:rsidRDefault="00F95CFA" w:rsidP="00F95CFA">
      <w:pPr>
        <w:ind w:left="567" w:firstLine="2835"/>
        <w:jc w:val="both"/>
        <w:rPr>
          <w:rFonts w:eastAsia="Times New Roman" w:cstheme="minorHAnsi"/>
          <w:sz w:val="24"/>
          <w:szCs w:val="24"/>
        </w:rPr>
      </w:pPr>
    </w:p>
    <w:p w:rsidR="00F95CFA" w:rsidRDefault="00F95CFA" w:rsidP="00F95CFA">
      <w:pPr>
        <w:ind w:left="567" w:firstLine="2835"/>
        <w:jc w:val="both"/>
        <w:rPr>
          <w:rFonts w:eastAsia="Times New Roman" w:cstheme="minorHAnsi"/>
          <w:sz w:val="24"/>
          <w:szCs w:val="24"/>
        </w:rPr>
      </w:pPr>
    </w:p>
    <w:p w:rsidR="00F95CFA" w:rsidRDefault="00F95CFA" w:rsidP="00F95CFA">
      <w:pPr>
        <w:ind w:left="567" w:firstLine="567"/>
        <w:jc w:val="both"/>
        <w:rPr>
          <w:rFonts w:eastAsia="Times New Roman" w:cstheme="minorHAnsi"/>
          <w:sz w:val="24"/>
          <w:szCs w:val="24"/>
        </w:rPr>
      </w:pP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xml:space="preserve">                                    </w:t>
      </w:r>
    </w:p>
    <w:p w:rsidR="00F95CFA" w:rsidRDefault="00F95CFA" w:rsidP="00F95CFA">
      <w:pPr>
        <w:ind w:left="567" w:firstLine="567"/>
        <w:jc w:val="center"/>
        <w:rPr>
          <w:rFonts w:eastAsia="Times New Roman" w:cstheme="minorHAnsi"/>
          <w:b/>
          <w:sz w:val="24"/>
          <w:szCs w:val="24"/>
        </w:rPr>
      </w:pPr>
      <w:r>
        <w:rPr>
          <w:rFonts w:eastAsia="Times New Roman" w:cstheme="minorHAnsi"/>
          <w:b/>
          <w:sz w:val="24"/>
          <w:szCs w:val="24"/>
        </w:rPr>
        <w:t>Seção II</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Da Entrega do Armamento</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2º</w:t>
      </w:r>
      <w:r>
        <w:rPr>
          <w:rFonts w:eastAsia="Times New Roman" w:cstheme="minorHAnsi"/>
          <w:sz w:val="24"/>
          <w:szCs w:val="24"/>
        </w:rPr>
        <w:t>  O Guarda Municipal deverá utilizar somente o armamento a ser fornecido pela Corporação, nos termos previstos nesta lei, vedada a utilização de armas particulares durante o regular turno de serviço e convocações extraordinárias. </w:t>
      </w:r>
    </w:p>
    <w:p w:rsidR="00F95CFA" w:rsidRDefault="00F95CFA" w:rsidP="00F95CFA">
      <w:pPr>
        <w:ind w:left="567" w:firstLine="2835"/>
        <w:jc w:val="both"/>
        <w:rPr>
          <w:rFonts w:eastAsia="Times New Roman" w:cstheme="minorHAnsi"/>
          <w:sz w:val="24"/>
          <w:szCs w:val="24"/>
        </w:rPr>
      </w:pP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 xml:space="preserve">Art. 3º </w:t>
      </w:r>
      <w:r>
        <w:rPr>
          <w:rFonts w:eastAsia="Times New Roman" w:cstheme="minorHAnsi"/>
          <w:sz w:val="24"/>
          <w:szCs w:val="24"/>
        </w:rPr>
        <w:t>O armamento letal será entregue ao servidor devidamente habilitado e que atuarem em:</w:t>
      </w:r>
    </w:p>
    <w:p w:rsidR="00F95CFA" w:rsidRDefault="00F95CFA" w:rsidP="00F95CFA">
      <w:pPr>
        <w:ind w:left="567" w:firstLine="2835"/>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I – Ações integradas com os órgãos de segurança Pública, em ações conjuntas que contribuam com a paz social.</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II – Ações de proteção patrimonial ou quando acionado para casos especiais como invasões, vandalismo, tráfico de entorpecentes, conturbações generalizadas em prédios públicos.</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III – Ações preventivas especiais, antecipadamente programadas, desenvolvidas em locais determinados e que envolvem situações de perigo à segurança das pessoas.</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 xml:space="preserve">IV – Ações emergenciais o qual foi acionado que </w:t>
      </w:r>
      <w:proofErr w:type="gramStart"/>
      <w:r>
        <w:rPr>
          <w:rFonts w:eastAsia="Times New Roman" w:cstheme="minorHAnsi"/>
          <w:sz w:val="24"/>
          <w:szCs w:val="24"/>
        </w:rPr>
        <w:t>envolvam</w:t>
      </w:r>
      <w:proofErr w:type="gramEnd"/>
      <w:r>
        <w:rPr>
          <w:rFonts w:eastAsia="Times New Roman" w:cstheme="minorHAnsi"/>
          <w:sz w:val="24"/>
          <w:szCs w:val="24"/>
        </w:rPr>
        <w:t xml:space="preserve"> a pratica de crimes ou a participação de criminosos.</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V – Ações para coibir práticas criminosas e promover eventuais prisões em flagrante.</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 xml:space="preserve">VI – Ações de proteção de autoridades e </w:t>
      </w:r>
      <w:proofErr w:type="spellStart"/>
      <w:r>
        <w:rPr>
          <w:rFonts w:eastAsia="Times New Roman" w:cstheme="minorHAnsi"/>
          <w:sz w:val="24"/>
          <w:szCs w:val="24"/>
        </w:rPr>
        <w:t>dignatários</w:t>
      </w:r>
      <w:proofErr w:type="spellEnd"/>
      <w:r>
        <w:rPr>
          <w:rFonts w:eastAsia="Times New Roman" w:cstheme="minorHAnsi"/>
          <w:sz w:val="24"/>
          <w:szCs w:val="24"/>
        </w:rPr>
        <w:t>.</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VII – Ações de segurança de grandes eventos, quando escalado para o grupamento especial armado.</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VIII – Postos fixados por Decreto Municipal.</w:t>
      </w:r>
    </w:p>
    <w:p w:rsidR="00F95CFA" w:rsidRDefault="00F95CFA" w:rsidP="00F95CFA">
      <w:pPr>
        <w:ind w:left="567" w:firstLine="2835"/>
        <w:jc w:val="both"/>
        <w:rPr>
          <w:rFonts w:eastAsia="Times New Roman" w:cstheme="minorHAnsi"/>
          <w:sz w:val="24"/>
          <w:szCs w:val="24"/>
        </w:rPr>
      </w:pP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4º</w:t>
      </w:r>
      <w:r>
        <w:rPr>
          <w:rFonts w:eastAsia="Times New Roman" w:cstheme="minorHAnsi"/>
          <w:sz w:val="24"/>
          <w:szCs w:val="24"/>
        </w:rPr>
        <w:t>  A entrega do armamento e munição ao servidor referido nos artigos anteriores será realizada através de registro em livro próprio de controle de entrega de bem patrimonial móvel, ficando o detentor do material responsável por sua guarda e manutenção, obrigando-se a repará-lo no caso de dano e a repô-lo nos casos de extravio, furto ou roubo, por culpa ou dolo, sem prejuízo das demais medidas disciplinares.</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lastRenderedPageBreak/>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Parágrafo único.</w:t>
      </w:r>
      <w:r>
        <w:rPr>
          <w:rFonts w:eastAsia="Times New Roman" w:cstheme="minorHAnsi"/>
          <w:sz w:val="24"/>
          <w:szCs w:val="24"/>
        </w:rPr>
        <w:t>  A entrega do armamento e munição será realizada quando do início das ações referidas nos incisos I, III, IV, V, VI e VII do art. 3º e início do expediente do servidor referido nos incisos II, VIII do art. 3º, seja no turno regular de serviço ou convocação, devendo ser devolvido ao término das atividades</w:t>
      </w:r>
      <w:r>
        <w:rPr>
          <w:rFonts w:eastAsia="Times New Roman" w:cstheme="minorHAnsi"/>
          <w:color w:val="FF0000"/>
          <w:sz w:val="24"/>
          <w:szCs w:val="24"/>
        </w:rPr>
        <w:t xml:space="preserve"> </w:t>
      </w:r>
      <w:r>
        <w:rPr>
          <w:rFonts w:eastAsia="Times New Roman" w:cstheme="minorHAnsi"/>
          <w:sz w:val="24"/>
          <w:szCs w:val="24"/>
        </w:rPr>
        <w:t>ao servidor responsável pela guarda e armazenamento.</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5º</w:t>
      </w:r>
      <w:r>
        <w:rPr>
          <w:rFonts w:eastAsia="Times New Roman" w:cstheme="minorHAnsi"/>
          <w:sz w:val="24"/>
          <w:szCs w:val="24"/>
        </w:rPr>
        <w:t>  O detentor de armamento deverá assinar obrigatoriamente, no ato da entrega do armamento, a Cautela de Material Bélico.</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Seção III</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Das Proibições e dos Impedimentos para a Entrega de Armamento</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6º</w:t>
      </w:r>
      <w:r>
        <w:rPr>
          <w:rFonts w:eastAsia="Times New Roman" w:cstheme="minorHAnsi"/>
          <w:sz w:val="24"/>
          <w:szCs w:val="24"/>
        </w:rPr>
        <w:t>  Não será autorizado a receber o armamento e munição o servidor que:</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I – não preencha qualquer dos requisitos exigidos pela legislação referida no artigo 1º desta lei municipal;</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 xml:space="preserve">II - figure como investigado em inquérito policial pela prática de crimes contra a Administração Pública e aqueles tipificados na Lei Federal nº 10.826/2003 ou esteja respondendo a processo judicial pela </w:t>
      </w:r>
      <w:proofErr w:type="spellStart"/>
      <w:r>
        <w:rPr>
          <w:rFonts w:eastAsia="Times New Roman" w:cstheme="minorHAnsi"/>
          <w:sz w:val="24"/>
          <w:szCs w:val="24"/>
        </w:rPr>
        <w:t>práticade</w:t>
      </w:r>
      <w:proofErr w:type="spellEnd"/>
      <w:r>
        <w:rPr>
          <w:rFonts w:eastAsia="Times New Roman" w:cstheme="minorHAnsi"/>
          <w:sz w:val="24"/>
          <w:szCs w:val="24"/>
        </w:rPr>
        <w:t xml:space="preserve"> infração penal;</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III – esteja respondendo a processo administrativo disciplinar pela prática de qualquer ato relacionado às suas funções;</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IV – tenha se utilizado do armamento para fins particulares, notadamente para exercer atividade remunerada fora do serviço;</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V – tenha deixado de observar as cautelas necessárias para impedir que terceiros se apoderem de arma de fogo que esteja sob sua posse;</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VI – tenha disparado arma de fogo que esteja sob sua responsabilidade sem justo motivo;</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VII – tenha portado arma de fogo ostensivamente ou com ela adentrado ou permanecido em locais públicos, tais como igrejas, escolas, estádios desportivos, clubes ou outros locais onde haja aglomeração de pessoas, excetuando-se os casos em que o guarda municipal esteja uniformizado, em serviço ou escalado para o local do evento;</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 xml:space="preserve">VIII – tenha portado arma de fogo em estado de embriaguez ou </w:t>
      </w:r>
      <w:proofErr w:type="gramStart"/>
      <w:r>
        <w:rPr>
          <w:rFonts w:eastAsia="Times New Roman" w:cstheme="minorHAnsi"/>
          <w:sz w:val="24"/>
          <w:szCs w:val="24"/>
        </w:rPr>
        <w:t>sob efeito</w:t>
      </w:r>
      <w:proofErr w:type="gramEnd"/>
      <w:r>
        <w:rPr>
          <w:rFonts w:eastAsia="Times New Roman" w:cstheme="minorHAnsi"/>
          <w:sz w:val="24"/>
          <w:szCs w:val="24"/>
        </w:rPr>
        <w:t xml:space="preserve"> de drogas ou medicamentos que provoquem alteração do desempenho intelectual ou motor;</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IX – não tenha observado as devidas cautelas e técnicas operacionais para porte da arma de fogo, expondo a risco desnecessário sua integridade física ou de outrem;</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lastRenderedPageBreak/>
        <w:t>X – esteja afastado do serviço pelos seguintes motivos:</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a) cumprimento de pena de suspensão;</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b) gozo de férias;</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c) licença para tratamento de saúde;</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d) licença para tratar de interesses particulares;</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e) licença gestante;</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f) demais licenças e afastamentos previstos em lei.</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XI – tenha faltado com o devido zelo na conservação do armamento;</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XII – esteja afastado do serviço para concorrer a cargo eletivo.</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XIII – Utilizar arma particular durante o regular turno de serviço ou convocações extraordinárias.</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XIV – Escalado nas ações especificas de trânsito.</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XV – Escalado em ações educativas, de prevenção da violência e de pacificação de conflitos.</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XVI – Escalado em ações preventivas de segurança escolar, exceto em casos especiais de unidades com histórico de violência e criminalidade.</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r>
        <w:rPr>
          <w:rFonts w:eastAsia="Times New Roman" w:cstheme="minorHAnsi"/>
          <w:b/>
          <w:sz w:val="24"/>
          <w:szCs w:val="24"/>
        </w:rPr>
        <w:t xml:space="preserve">                                              1º§ </w:t>
      </w:r>
      <w:r>
        <w:rPr>
          <w:rFonts w:eastAsia="Times New Roman" w:cstheme="minorHAnsi"/>
          <w:sz w:val="24"/>
          <w:szCs w:val="24"/>
        </w:rPr>
        <w:t>Poderá ser preventivamente impedido de utilizar o armamento o integrante da Guarda Civil Municipal cuja conduta seja considerada inadequada, a critério do Coordenador Executivo da Guarda Civil Municipal, mediante recomendação da Corregedoria da Guarda Municipal.</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 xml:space="preserve">                                                 </w:t>
      </w:r>
      <w:r>
        <w:rPr>
          <w:rFonts w:eastAsia="Times New Roman" w:cstheme="minorHAnsi"/>
          <w:b/>
          <w:sz w:val="24"/>
          <w:szCs w:val="24"/>
        </w:rPr>
        <w:t>2º§</w:t>
      </w:r>
      <w:r>
        <w:rPr>
          <w:rFonts w:eastAsia="Times New Roman" w:cstheme="minorHAnsi"/>
          <w:sz w:val="24"/>
          <w:szCs w:val="24"/>
        </w:rPr>
        <w:t xml:space="preserve"> As faltas referidas nos incisos IV, V, VI, VII, VIII, IX e XIII, ensejará o devido Processo Administrativo Disciplinar. </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Seção IV</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Do Controle do Armamento da Guarda Municipal</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7º</w:t>
      </w:r>
      <w:r>
        <w:rPr>
          <w:rFonts w:eastAsia="Times New Roman" w:cstheme="minorHAnsi"/>
          <w:sz w:val="24"/>
          <w:szCs w:val="24"/>
        </w:rPr>
        <w:t>  O Coordenador Executivo da Guarda Civil Municipal é responsável pela expedição da Cautela e pelo controle do material bélico, fazendo a entrega do armamento e da munição mediante registro no livro próprio, podendo tais funções ser delegadas aos Gestores da Guarda Civil Municipais.</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8º </w:t>
      </w:r>
      <w:r>
        <w:rPr>
          <w:rFonts w:eastAsia="Times New Roman" w:cstheme="minorHAnsi"/>
          <w:sz w:val="24"/>
          <w:szCs w:val="24"/>
        </w:rPr>
        <w:t xml:space="preserve"> Os Gestores deverão, sempre que houver ocorrência dos casos de extravio, furto ou roubo de material bélico, enviar </w:t>
      </w:r>
      <w:r>
        <w:rPr>
          <w:rFonts w:eastAsia="Times New Roman" w:cstheme="minorHAnsi"/>
          <w:sz w:val="24"/>
          <w:szCs w:val="24"/>
        </w:rPr>
        <w:lastRenderedPageBreak/>
        <w:t>imediatamente para o Coordenador Executivo da Guarda Civil Municipal cópia do respectivo Boletim de Ocorrência.</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Seção V</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Das Disposições Gerais</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9º</w:t>
      </w:r>
      <w:r>
        <w:rPr>
          <w:rFonts w:eastAsia="Times New Roman" w:cstheme="minorHAnsi"/>
          <w:sz w:val="24"/>
          <w:szCs w:val="24"/>
        </w:rPr>
        <w:t>  O servidor que portar arma de fogo deverá, sempre que se envolver em ocorrência que resulte em disparo de arma de fogo, confeccionar e enviar, imediatamente, a sua chefia, relatório circunstanciado dos fatos a fim de justificar o motivo da utilização da arma, devendo seu superior hierárquico encaminhar o referido relatório diretamente ao Coordenador da Guarda Civil Municipal e à Corregedoria da Guarda Municipal.</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10</w:t>
      </w:r>
      <w:r>
        <w:rPr>
          <w:rFonts w:eastAsia="Times New Roman" w:cstheme="minorHAnsi"/>
          <w:sz w:val="24"/>
          <w:szCs w:val="24"/>
        </w:rPr>
        <w:t>  O servidor a quem for concedido porte de arma, deverá ser submetido, ao menos a cada 02 (dois) anos, a teste de capacidade psicológica.</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11.</w:t>
      </w:r>
      <w:r>
        <w:rPr>
          <w:rFonts w:eastAsia="Times New Roman" w:cstheme="minorHAnsi"/>
          <w:sz w:val="24"/>
          <w:szCs w:val="24"/>
        </w:rPr>
        <w:t>  A Secretaria Municipal de Segurança Pública será responsável pelo controle dos laudos de aptidão psicológica, que devem ser realizados por psicólogo do Departamento da Polícia Federal ou psicólogo credenciado pelo Departamento da Polícia Federal, nos termos do artigo 42 da Instrução Normativa PF nº 23, de 1º de setembro de 2005, regularmente contratados para este fim, cabendo-lhe:</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b/>
          <w:sz w:val="24"/>
          <w:szCs w:val="24"/>
        </w:rPr>
        <w:t>I –</w:t>
      </w:r>
      <w:r>
        <w:rPr>
          <w:rFonts w:eastAsia="Times New Roman" w:cstheme="minorHAnsi"/>
          <w:sz w:val="24"/>
          <w:szCs w:val="24"/>
        </w:rPr>
        <w:t xml:space="preserve"> solicitar laudos;</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b/>
          <w:sz w:val="24"/>
          <w:szCs w:val="24"/>
        </w:rPr>
        <w:t>II –</w:t>
      </w:r>
      <w:r>
        <w:rPr>
          <w:rFonts w:eastAsia="Times New Roman" w:cstheme="minorHAnsi"/>
          <w:sz w:val="24"/>
          <w:szCs w:val="24"/>
        </w:rPr>
        <w:t xml:space="preserve"> adotar as providências cabíveis para a renovação dos laudos antes do respectivo vencimento;</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b/>
          <w:sz w:val="24"/>
          <w:szCs w:val="24"/>
        </w:rPr>
        <w:t>III –</w:t>
      </w:r>
      <w:r>
        <w:rPr>
          <w:rFonts w:eastAsia="Times New Roman" w:cstheme="minorHAnsi"/>
          <w:sz w:val="24"/>
          <w:szCs w:val="24"/>
        </w:rPr>
        <w:t xml:space="preserve"> solicitar ao Coordenador Executivo da Guarda Civil Municipal a apresentação do efetivo, nos locais designados, para a realização dos testes psicológicos.</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 1º</w:t>
      </w:r>
      <w:r>
        <w:rPr>
          <w:rFonts w:eastAsia="Times New Roman" w:cstheme="minorHAnsi"/>
          <w:sz w:val="24"/>
          <w:szCs w:val="24"/>
        </w:rPr>
        <w:t>  Cabe também ao Coordenador Executivo da Guarda Civil Municipal e à Corregedoria da Guarda Municipal, a qualquer tempo, a solicitação da realização de exames psicológicos.</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 2º</w:t>
      </w:r>
      <w:r>
        <w:rPr>
          <w:rFonts w:eastAsia="Times New Roman" w:cstheme="minorHAnsi"/>
          <w:sz w:val="24"/>
          <w:szCs w:val="24"/>
        </w:rPr>
        <w:t>  Após receber relatório que envolva disparo de arma de fogo, deverão os órgãos referidos no parágrafo anterior avaliar o caso e, entendendo pertinente, solicitar a realização de novos testes de capacitação psicológica do servidor envolvido.</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12</w:t>
      </w:r>
      <w:r>
        <w:rPr>
          <w:rFonts w:eastAsia="Times New Roman" w:cstheme="minorHAnsi"/>
          <w:sz w:val="24"/>
          <w:szCs w:val="24"/>
        </w:rPr>
        <w:t>.  Todos os servidores integrantes da Secretaria Municipal de Segurança Pública são responsáveis pelo fiel cumprimento da presente lei.</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lastRenderedPageBreak/>
        <w:t>Art. 13.</w:t>
      </w:r>
      <w:r>
        <w:rPr>
          <w:rFonts w:eastAsia="Times New Roman" w:cstheme="minorHAnsi"/>
          <w:sz w:val="24"/>
          <w:szCs w:val="24"/>
        </w:rPr>
        <w:t>  Os casos omissos, após manifestação do Coordenador Executivo da Guarda Civil Municipal e do Secretário Municipal de Segurança Pública, serão resolvidos pelo Prefeito Municipal.</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CAPÍTULO II</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Da Criação da Ouvidoria da Guarda Civil Municipal</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bookmarkStart w:id="1" w:name="art14"/>
      <w:bookmarkEnd w:id="1"/>
      <w:r>
        <w:rPr>
          <w:rFonts w:eastAsia="Times New Roman" w:cstheme="minorHAnsi"/>
          <w:b/>
          <w:sz w:val="24"/>
          <w:szCs w:val="24"/>
        </w:rPr>
        <w:t>Art. 14.</w:t>
      </w:r>
      <w:r>
        <w:rPr>
          <w:rFonts w:eastAsia="Times New Roman" w:cstheme="minorHAnsi"/>
          <w:sz w:val="24"/>
          <w:szCs w:val="24"/>
        </w:rPr>
        <w:t>  Fica criada a Ouvidoria da Guarda Municipal, nos termos do artigo 13 da Lei Federal nº 13.022/14, responsável pelo controle externo, competindo-lhe:</w:t>
      </w:r>
    </w:p>
    <w:p w:rsidR="00F95CFA" w:rsidRDefault="00F95CFA" w:rsidP="00F95CFA">
      <w:pPr>
        <w:ind w:left="567" w:firstLine="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bookmarkStart w:id="2" w:name="art13"/>
      <w:bookmarkEnd w:id="2"/>
      <w:r>
        <w:rPr>
          <w:rFonts w:eastAsia="Times New Roman" w:cstheme="minorHAnsi"/>
          <w:sz w:val="24"/>
          <w:szCs w:val="24"/>
        </w:rPr>
        <w:t>I – propor aos órgãos da Administração, resguardadas as respectivas competências, a instauração de sindicâncias e procedimentos administrativos destinadas à apuração das responsabilidades administrativas, civis e criminais dos servidores públicos lotados na Secretaria Municipal de Segurança Pública.</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II – requisitar, de qualquer órgão municipal, informações, certidões ou cópias de documentos relacionados às reclamações ou denúncias recebidas, na forma da lei;</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III – recomendar a adoção de providências que entender pertinentes, necessárias ao aperfeiçoamento dos serviços prestados à população pela Administração Municipal;</w:t>
      </w:r>
    </w:p>
    <w:p w:rsidR="00F95CFA" w:rsidRDefault="00F95CFA" w:rsidP="00F95CFA">
      <w:pPr>
        <w:ind w:left="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both"/>
        <w:rPr>
          <w:rFonts w:eastAsia="Times New Roman" w:cstheme="minorHAnsi"/>
          <w:sz w:val="24"/>
          <w:szCs w:val="24"/>
        </w:rPr>
      </w:pPr>
      <w:r>
        <w:rPr>
          <w:rFonts w:eastAsia="Times New Roman" w:cstheme="minorHAnsi"/>
          <w:sz w:val="24"/>
          <w:szCs w:val="24"/>
        </w:rPr>
        <w:t>IV – emitir pareceres sobre questões que se lhe apresentarem;</w:t>
      </w:r>
    </w:p>
    <w:p w:rsidR="00F95CFA" w:rsidRDefault="00F95CFA" w:rsidP="00F95CFA">
      <w:pPr>
        <w:ind w:left="567"/>
        <w:jc w:val="both"/>
        <w:rPr>
          <w:rFonts w:eastAsia="Times New Roman" w:cstheme="minorHAnsi"/>
          <w:sz w:val="24"/>
          <w:szCs w:val="24"/>
        </w:rPr>
      </w:pPr>
    </w:p>
    <w:p w:rsidR="00F95CFA" w:rsidRDefault="00F95CFA" w:rsidP="00F95CFA">
      <w:pPr>
        <w:ind w:left="567"/>
        <w:jc w:val="both"/>
        <w:rPr>
          <w:rFonts w:eastAsia="Times New Roman" w:cstheme="minorHAnsi"/>
          <w:sz w:val="24"/>
          <w:szCs w:val="24"/>
        </w:rPr>
      </w:pPr>
      <w:r>
        <w:rPr>
          <w:rFonts w:eastAsia="Times New Roman" w:cstheme="minorHAnsi"/>
          <w:sz w:val="24"/>
          <w:szCs w:val="24"/>
        </w:rPr>
        <w:t>V –  r</w:t>
      </w:r>
      <w:r>
        <w:rPr>
          <w:rFonts w:cstheme="minorHAnsi"/>
          <w:sz w:val="24"/>
          <w:szCs w:val="24"/>
        </w:rPr>
        <w:t>eceber, examinar e encaminhar reclamações, sugestões, elogios e denúncias acerca da conduta de seus dirigentes e integrantes e das atividades do órgão, propor soluções, oferecer recomendações e informar os resultados aos interessados, garantindo-lhes orientação, informação e resposta.  </w:t>
      </w:r>
    </w:p>
    <w:p w:rsidR="00F95CFA" w:rsidRDefault="00F95CFA" w:rsidP="00F95CFA">
      <w:pPr>
        <w:ind w:left="567" w:firstLine="567"/>
        <w:jc w:val="both"/>
        <w:rPr>
          <w:rFonts w:eastAsia="Times New Roman" w:cstheme="minorHAnsi"/>
          <w:sz w:val="24"/>
          <w:szCs w:val="24"/>
        </w:rPr>
      </w:pP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15</w:t>
      </w:r>
      <w:r>
        <w:rPr>
          <w:rFonts w:eastAsia="Times New Roman" w:cstheme="minorHAnsi"/>
          <w:sz w:val="24"/>
          <w:szCs w:val="24"/>
        </w:rPr>
        <w:t>.  A Ouvidoria Municipal atuará de ofício, por determinação do Prefeito, do Secretário Municipal de Segurança Pública ou do Coordenador Executivo da Guarda Civil Municipal, ou, ainda, mediante requerimento escrito de qualquer do povo ou de entidades representativas da sociedade.</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CAPÍTULO III</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Da Estrutura hierárquica e Organizacional da Secretaria Municipal de Segurança Pública</w:t>
      </w:r>
    </w:p>
    <w:p w:rsidR="00F95CFA" w:rsidRDefault="00F95CFA" w:rsidP="00F95CFA">
      <w:pPr>
        <w:ind w:left="567"/>
        <w:jc w:val="center"/>
        <w:rPr>
          <w:rFonts w:eastAsia="Times New Roman" w:cstheme="minorHAnsi"/>
          <w:sz w:val="24"/>
          <w:szCs w:val="24"/>
        </w:rPr>
      </w:pPr>
    </w:p>
    <w:p w:rsidR="00F95CFA" w:rsidRDefault="00F95CFA" w:rsidP="00F95CFA">
      <w:pPr>
        <w:ind w:left="567"/>
        <w:jc w:val="both"/>
        <w:rPr>
          <w:rFonts w:eastAsia="Times New Roman" w:cstheme="minorHAnsi"/>
          <w:sz w:val="24"/>
          <w:szCs w:val="24"/>
        </w:rPr>
      </w:pP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 xml:space="preserve">  Art. 16.</w:t>
      </w:r>
      <w:r>
        <w:rPr>
          <w:rFonts w:eastAsia="Times New Roman" w:cstheme="minorHAnsi"/>
          <w:sz w:val="24"/>
          <w:szCs w:val="24"/>
        </w:rPr>
        <w:t>  O art. 8º da </w:t>
      </w:r>
      <w:hyperlink r:id="rId5" w:anchor="art8" w:history="1">
        <w:r>
          <w:rPr>
            <w:rStyle w:val="Hyperlink"/>
            <w:rFonts w:eastAsia="Times New Roman" w:cstheme="minorHAnsi"/>
            <w:color w:val="auto"/>
            <w:sz w:val="24"/>
            <w:szCs w:val="24"/>
          </w:rPr>
          <w:t>Lei nº 6.930/09</w:t>
        </w:r>
      </w:hyperlink>
      <w:r>
        <w:rPr>
          <w:rFonts w:eastAsia="Times New Roman" w:cstheme="minorHAnsi"/>
          <w:sz w:val="24"/>
          <w:szCs w:val="24"/>
        </w:rPr>
        <w:t> passa a vigorar com a seguinte redação:</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proofErr w:type="gramStart"/>
      <w:r>
        <w:rPr>
          <w:rFonts w:eastAsia="Times New Roman" w:cstheme="minorHAnsi"/>
          <w:sz w:val="24"/>
          <w:szCs w:val="24"/>
        </w:rPr>
        <w:t>“</w:t>
      </w:r>
      <w:r>
        <w:rPr>
          <w:rFonts w:eastAsia="Times New Roman" w:cstheme="minorHAnsi"/>
          <w:b/>
          <w:sz w:val="24"/>
          <w:szCs w:val="24"/>
        </w:rPr>
        <w:t>Art. 8º</w:t>
      </w:r>
      <w:r>
        <w:rPr>
          <w:rFonts w:eastAsia="Times New Roman" w:cstheme="minorHAnsi"/>
          <w:sz w:val="24"/>
          <w:szCs w:val="24"/>
        </w:rPr>
        <w:t> A Secretaria Municipal de Segurança Pública apresenta a seguinte estrutura hierárquica e organizacional:</w:t>
      </w:r>
    </w:p>
    <w:p w:rsidR="00F95CFA" w:rsidRDefault="00F95CFA" w:rsidP="00F95CFA">
      <w:pPr>
        <w:ind w:left="567"/>
        <w:jc w:val="both"/>
        <w:rPr>
          <w:rFonts w:eastAsia="Times New Roman" w:cstheme="minorHAnsi"/>
          <w:sz w:val="24"/>
          <w:szCs w:val="24"/>
        </w:rPr>
      </w:pPr>
      <w:proofErr w:type="gramEnd"/>
      <w:r>
        <w:rPr>
          <w:rFonts w:eastAsia="Times New Roman" w:cstheme="minorHAnsi"/>
          <w:sz w:val="24"/>
          <w:szCs w:val="24"/>
        </w:rPr>
        <w:t> </w:t>
      </w:r>
    </w:p>
    <w:p w:rsidR="00F95CFA" w:rsidRDefault="00F95CFA" w:rsidP="00F95CFA">
      <w:pPr>
        <w:tabs>
          <w:tab w:val="left" w:pos="426"/>
          <w:tab w:val="left" w:pos="709"/>
        </w:tabs>
        <w:ind w:left="567"/>
        <w:jc w:val="both"/>
        <w:rPr>
          <w:rFonts w:eastAsia="Times New Roman" w:cstheme="minorHAnsi"/>
          <w:sz w:val="24"/>
          <w:szCs w:val="24"/>
        </w:rPr>
      </w:pPr>
      <w:r>
        <w:rPr>
          <w:rFonts w:eastAsia="Times New Roman" w:cstheme="minorHAnsi"/>
          <w:sz w:val="24"/>
          <w:szCs w:val="24"/>
        </w:rPr>
        <w:t>I – Gabinete do Secretário:</w:t>
      </w:r>
    </w:p>
    <w:p w:rsidR="00F95CFA" w:rsidRDefault="00F95CFA" w:rsidP="00F95CFA">
      <w:pPr>
        <w:tabs>
          <w:tab w:val="left" w:pos="426"/>
          <w:tab w:val="left" w:pos="709"/>
        </w:tabs>
        <w:ind w:left="567"/>
        <w:jc w:val="both"/>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proofErr w:type="gramStart"/>
      <w:r>
        <w:rPr>
          <w:rFonts w:eastAsia="Times New Roman" w:cstheme="minorHAnsi"/>
          <w:sz w:val="24"/>
          <w:szCs w:val="24"/>
        </w:rPr>
        <w:t>I.</w:t>
      </w:r>
      <w:proofErr w:type="gramEnd"/>
      <w:r>
        <w:rPr>
          <w:rFonts w:eastAsia="Times New Roman" w:cstheme="minorHAnsi"/>
          <w:sz w:val="24"/>
          <w:szCs w:val="24"/>
        </w:rPr>
        <w:t>1. Gerência de Articulação de Órgãos de Segurança e Defesa</w:t>
      </w:r>
    </w:p>
    <w:p w:rsidR="00F95CFA" w:rsidRDefault="00F95CFA" w:rsidP="00F95CFA">
      <w:pPr>
        <w:tabs>
          <w:tab w:val="left" w:pos="426"/>
          <w:tab w:val="left" w:pos="709"/>
        </w:tabs>
        <w:ind w:left="567"/>
        <w:jc w:val="both"/>
        <w:rPr>
          <w:rFonts w:eastAsia="Times New Roman" w:cstheme="minorHAnsi"/>
          <w:sz w:val="24"/>
          <w:szCs w:val="24"/>
        </w:rPr>
      </w:pPr>
      <w:r>
        <w:rPr>
          <w:rFonts w:eastAsia="Times New Roman" w:cstheme="minorHAnsi"/>
          <w:sz w:val="24"/>
          <w:szCs w:val="24"/>
        </w:rPr>
        <w:lastRenderedPageBreak/>
        <w:tab/>
      </w:r>
      <w:r>
        <w:rPr>
          <w:rFonts w:eastAsia="Times New Roman" w:cstheme="minorHAnsi"/>
          <w:sz w:val="24"/>
          <w:szCs w:val="24"/>
        </w:rPr>
        <w:tab/>
      </w:r>
      <w:proofErr w:type="gramStart"/>
      <w:r>
        <w:rPr>
          <w:rFonts w:eastAsia="Times New Roman" w:cstheme="minorHAnsi"/>
          <w:sz w:val="24"/>
          <w:szCs w:val="24"/>
        </w:rPr>
        <w:t>I.</w:t>
      </w:r>
      <w:proofErr w:type="gramEnd"/>
      <w:r>
        <w:rPr>
          <w:rFonts w:eastAsia="Times New Roman" w:cstheme="minorHAnsi"/>
          <w:sz w:val="24"/>
          <w:szCs w:val="24"/>
        </w:rPr>
        <w:t>2. Gerência Administrativa</w:t>
      </w:r>
    </w:p>
    <w:p w:rsidR="00F95CFA" w:rsidRDefault="00F95CFA" w:rsidP="00F95CFA">
      <w:pPr>
        <w:tabs>
          <w:tab w:val="left" w:pos="426"/>
          <w:tab w:val="left" w:pos="709"/>
        </w:tabs>
        <w:ind w:left="567"/>
        <w:jc w:val="both"/>
        <w:rPr>
          <w:rFonts w:eastAsia="Times New Roman" w:cstheme="minorHAnsi"/>
          <w:sz w:val="24"/>
          <w:szCs w:val="24"/>
        </w:rPr>
      </w:pPr>
      <w:r>
        <w:rPr>
          <w:rFonts w:eastAsia="Times New Roman" w:cstheme="minorHAnsi"/>
          <w:sz w:val="24"/>
          <w:szCs w:val="24"/>
        </w:rPr>
        <w:tab/>
        <w:t>1. Corregedoria da Guarda Civil Municipal</w:t>
      </w:r>
    </w:p>
    <w:p w:rsidR="00F95CFA" w:rsidRDefault="00F95CFA" w:rsidP="00F95CFA">
      <w:pPr>
        <w:tabs>
          <w:tab w:val="left" w:pos="426"/>
          <w:tab w:val="left" w:pos="709"/>
        </w:tabs>
        <w:ind w:left="567"/>
        <w:jc w:val="both"/>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tab/>
        <w:t>2. Ouvidoria da Guarda Civil Municipal</w:t>
      </w:r>
    </w:p>
    <w:p w:rsidR="00F95CFA" w:rsidRDefault="00F95CFA" w:rsidP="00F95CFA">
      <w:pPr>
        <w:tabs>
          <w:tab w:val="left" w:pos="426"/>
          <w:tab w:val="left" w:pos="709"/>
        </w:tabs>
        <w:ind w:left="567"/>
        <w:jc w:val="both"/>
        <w:rPr>
          <w:rFonts w:eastAsia="Times New Roman" w:cstheme="minorHAnsi"/>
          <w:sz w:val="24"/>
          <w:szCs w:val="24"/>
        </w:rPr>
      </w:pPr>
      <w:r>
        <w:rPr>
          <w:rFonts w:eastAsia="Times New Roman" w:cstheme="minorHAnsi"/>
          <w:sz w:val="24"/>
          <w:szCs w:val="24"/>
        </w:rPr>
        <w:tab/>
        <w:t>3. Coordenadoria Executiva da Guarda Civil Municipal</w:t>
      </w:r>
    </w:p>
    <w:p w:rsidR="00F95CFA" w:rsidRDefault="00F95CFA" w:rsidP="00F95CFA">
      <w:pPr>
        <w:tabs>
          <w:tab w:val="left" w:pos="426"/>
          <w:tab w:val="left" w:pos="709"/>
        </w:tabs>
        <w:ind w:left="567"/>
        <w:jc w:val="both"/>
        <w:rPr>
          <w:rFonts w:eastAsia="Times New Roman" w:cstheme="minorHAnsi"/>
          <w:sz w:val="24"/>
          <w:szCs w:val="24"/>
        </w:rPr>
      </w:pPr>
      <w:r>
        <w:rPr>
          <w:rFonts w:eastAsia="Times New Roman" w:cstheme="minorHAnsi"/>
          <w:sz w:val="24"/>
          <w:szCs w:val="24"/>
        </w:rPr>
        <w:tab/>
        <w:t>3.1. Gerência de Vídeo Monitoramento</w:t>
      </w:r>
      <w:proofErr w:type="gramStart"/>
      <w:r>
        <w:rPr>
          <w:rFonts w:eastAsia="Times New Roman" w:cstheme="minorHAnsi"/>
          <w:sz w:val="24"/>
          <w:szCs w:val="24"/>
        </w:rPr>
        <w:t xml:space="preserve">  </w:t>
      </w:r>
    </w:p>
    <w:p w:rsidR="00F95CFA" w:rsidRDefault="00F95CFA" w:rsidP="00F95CFA">
      <w:pPr>
        <w:tabs>
          <w:tab w:val="left" w:pos="426"/>
          <w:tab w:val="left" w:pos="709"/>
        </w:tabs>
        <w:ind w:left="567"/>
        <w:jc w:val="both"/>
        <w:rPr>
          <w:rFonts w:eastAsia="Times New Roman" w:cstheme="minorHAnsi"/>
          <w:sz w:val="24"/>
          <w:szCs w:val="24"/>
        </w:rPr>
      </w:pPr>
      <w:proofErr w:type="gramEnd"/>
      <w:r>
        <w:rPr>
          <w:rFonts w:eastAsia="Times New Roman" w:cstheme="minorHAnsi"/>
          <w:sz w:val="24"/>
          <w:szCs w:val="24"/>
        </w:rPr>
        <w:tab/>
        <w:t>4. Coordenadoria Executiva de Defesa Civil</w:t>
      </w:r>
    </w:p>
    <w:p w:rsidR="00F95CFA" w:rsidRDefault="00F95CFA" w:rsidP="00F95CFA">
      <w:pPr>
        <w:tabs>
          <w:tab w:val="left" w:pos="426"/>
          <w:tab w:val="left" w:pos="709"/>
        </w:tabs>
        <w:ind w:left="567"/>
        <w:jc w:val="both"/>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t xml:space="preserve">4.1. </w:t>
      </w:r>
      <w:proofErr w:type="gramStart"/>
      <w:r>
        <w:rPr>
          <w:rFonts w:eastAsia="Times New Roman" w:cstheme="minorHAnsi"/>
          <w:sz w:val="24"/>
          <w:szCs w:val="24"/>
        </w:rPr>
        <w:t>Gerência da Defesa Civil”</w:t>
      </w:r>
      <w:proofErr w:type="gramEnd"/>
    </w:p>
    <w:p w:rsidR="00F95CFA" w:rsidRDefault="00F95CFA" w:rsidP="00F95CFA">
      <w:pPr>
        <w:ind w:left="567"/>
        <w:jc w:val="center"/>
        <w:rPr>
          <w:rFonts w:eastAsia="Times New Roman" w:cstheme="minorHAnsi"/>
          <w:sz w:val="24"/>
          <w:szCs w:val="24"/>
        </w:rPr>
      </w:pP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CAPÍTULO IV</w:t>
      </w:r>
    </w:p>
    <w:p w:rsidR="00F95CFA" w:rsidRDefault="00F95CFA" w:rsidP="00F95CFA">
      <w:pPr>
        <w:ind w:left="567"/>
        <w:jc w:val="center"/>
        <w:rPr>
          <w:rFonts w:eastAsia="Times New Roman" w:cstheme="minorHAnsi"/>
          <w:b/>
          <w:sz w:val="24"/>
          <w:szCs w:val="24"/>
        </w:rPr>
      </w:pPr>
      <w:r>
        <w:rPr>
          <w:rFonts w:eastAsia="Times New Roman" w:cstheme="minorHAnsi"/>
          <w:b/>
          <w:sz w:val="24"/>
          <w:szCs w:val="24"/>
        </w:rPr>
        <w:t>Das Disposições Finais</w:t>
      </w:r>
    </w:p>
    <w:p w:rsidR="00F95CFA" w:rsidRDefault="00F95CFA" w:rsidP="00F95CFA">
      <w:pPr>
        <w:ind w:left="567" w:firstLine="567"/>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17.</w:t>
      </w:r>
      <w:r>
        <w:rPr>
          <w:rFonts w:eastAsia="Times New Roman" w:cstheme="minorHAnsi"/>
          <w:sz w:val="24"/>
          <w:szCs w:val="24"/>
        </w:rPr>
        <w:t>  As despesas com a execução da presente lei serão consignadas em dotação própria e específica na lei orçamentária, suplementadas se necessário.</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F95CFA" w:rsidRDefault="00F95CFA" w:rsidP="00F95CFA">
      <w:pPr>
        <w:ind w:left="567" w:firstLine="2835"/>
        <w:jc w:val="both"/>
        <w:rPr>
          <w:rFonts w:eastAsia="Times New Roman" w:cstheme="minorHAnsi"/>
          <w:sz w:val="24"/>
          <w:szCs w:val="24"/>
        </w:rPr>
      </w:pPr>
      <w:r>
        <w:rPr>
          <w:rFonts w:eastAsia="Times New Roman" w:cstheme="minorHAnsi"/>
          <w:b/>
          <w:sz w:val="24"/>
          <w:szCs w:val="24"/>
        </w:rPr>
        <w:t>Art. 18.</w:t>
      </w:r>
      <w:r>
        <w:rPr>
          <w:rFonts w:eastAsia="Times New Roman" w:cstheme="minorHAnsi"/>
          <w:sz w:val="24"/>
          <w:szCs w:val="24"/>
        </w:rPr>
        <w:t>  O Poder Executivo expedirá os atos administrativos que se fizerem necessários à regulamentação e fiel observância das disposições desta lei.</w:t>
      </w:r>
    </w:p>
    <w:p w:rsidR="00F95CFA" w:rsidRDefault="00F95CFA" w:rsidP="00F95CFA">
      <w:pPr>
        <w:ind w:left="567" w:firstLine="2835"/>
        <w:jc w:val="both"/>
        <w:rPr>
          <w:rFonts w:eastAsia="Times New Roman" w:cstheme="minorHAnsi"/>
          <w:sz w:val="24"/>
          <w:szCs w:val="24"/>
        </w:rPr>
      </w:pPr>
      <w:r>
        <w:rPr>
          <w:rFonts w:eastAsia="Times New Roman" w:cstheme="minorHAnsi"/>
          <w:sz w:val="24"/>
          <w:szCs w:val="24"/>
        </w:rPr>
        <w:t> </w:t>
      </w:r>
    </w:p>
    <w:p w:rsidR="00C2437A" w:rsidRDefault="00F95CFA" w:rsidP="00F95CFA">
      <w:pPr>
        <w:ind w:left="567" w:right="-374"/>
        <w:jc w:val="both"/>
        <w:rPr>
          <w:rFonts w:ascii="Arial" w:hAnsi="Arial" w:cs="Arial"/>
          <w:sz w:val="24"/>
          <w:szCs w:val="24"/>
        </w:rPr>
      </w:pPr>
      <w:r>
        <w:rPr>
          <w:rFonts w:eastAsia="Times New Roman" w:cstheme="minorHAnsi"/>
          <w:b/>
          <w:sz w:val="24"/>
          <w:szCs w:val="24"/>
        </w:rPr>
        <w:t>Art. 19.</w:t>
      </w:r>
      <w:r>
        <w:rPr>
          <w:rFonts w:eastAsia="Times New Roman" w:cstheme="minorHAnsi"/>
          <w:sz w:val="24"/>
          <w:szCs w:val="24"/>
        </w:rPr>
        <w:t>  Esta Lei entrará em vigor na data de sua publicação, revogadas as disposições em contrário.</w:t>
      </w:r>
    </w:p>
    <w:p w:rsidR="00C2437A" w:rsidRDefault="00C2437A" w:rsidP="00C2437A">
      <w:pPr>
        <w:ind w:left="567" w:right="-374"/>
        <w:jc w:val="both"/>
        <w:rPr>
          <w:rFonts w:ascii="Arial" w:hAnsi="Arial" w:cs="Arial"/>
          <w:sz w:val="24"/>
          <w:szCs w:val="24"/>
        </w:rPr>
      </w:pPr>
    </w:p>
    <w:p w:rsidR="00C2437A" w:rsidRDefault="00C2437A" w:rsidP="00C2437A">
      <w:pPr>
        <w:ind w:left="567" w:right="-374"/>
        <w:jc w:val="both"/>
        <w:rPr>
          <w:rFonts w:ascii="Arial" w:hAnsi="Arial" w:cs="Arial"/>
          <w:sz w:val="24"/>
          <w:szCs w:val="24"/>
        </w:rPr>
      </w:pPr>
    </w:p>
    <w:p w:rsidR="00C2437A" w:rsidRDefault="00C2437A" w:rsidP="00C2437A">
      <w:pPr>
        <w:ind w:left="567" w:right="-374"/>
        <w:jc w:val="center"/>
        <w:rPr>
          <w:rFonts w:ascii="Arial" w:hAnsi="Arial" w:cs="Arial"/>
          <w:b/>
          <w:bCs/>
          <w:sz w:val="24"/>
          <w:szCs w:val="24"/>
        </w:rPr>
      </w:pPr>
      <w:r>
        <w:rPr>
          <w:rFonts w:ascii="Arial" w:hAnsi="Arial" w:cs="Arial"/>
          <w:b/>
          <w:bCs/>
          <w:sz w:val="24"/>
          <w:szCs w:val="24"/>
        </w:rPr>
        <w:t>Sala de reuniões das comissões, 02 de junho de 2015.</w:t>
      </w:r>
    </w:p>
    <w:p w:rsidR="00C2437A" w:rsidRDefault="00C2437A" w:rsidP="00C2437A">
      <w:pPr>
        <w:ind w:left="567" w:right="-374"/>
        <w:jc w:val="center"/>
        <w:rPr>
          <w:rFonts w:ascii="Arial" w:hAnsi="Arial" w:cs="Arial"/>
          <w:b/>
          <w:bCs/>
          <w:sz w:val="24"/>
          <w:szCs w:val="24"/>
        </w:rPr>
      </w:pPr>
    </w:p>
    <w:p w:rsidR="00C2437A" w:rsidRDefault="00C2437A" w:rsidP="00C2437A">
      <w:pPr>
        <w:ind w:left="567" w:right="-374"/>
        <w:jc w:val="center"/>
        <w:rPr>
          <w:rFonts w:ascii="Arial" w:hAnsi="Arial" w:cs="Arial"/>
          <w:b/>
          <w:bCs/>
          <w:sz w:val="24"/>
          <w:szCs w:val="24"/>
        </w:rPr>
      </w:pPr>
    </w:p>
    <w:p w:rsidR="00C2437A" w:rsidRDefault="00C2437A" w:rsidP="00C2437A">
      <w:pPr>
        <w:ind w:left="567" w:right="-374"/>
        <w:rPr>
          <w:rFonts w:ascii="Arial" w:hAnsi="Arial" w:cs="Arial"/>
          <w:sz w:val="24"/>
          <w:szCs w:val="24"/>
        </w:rPr>
      </w:pPr>
      <w:r>
        <w:rPr>
          <w:rFonts w:ascii="Arial" w:hAnsi="Arial" w:cs="Arial"/>
          <w:sz w:val="24"/>
          <w:szCs w:val="24"/>
        </w:rPr>
        <w:t xml:space="preserve">                 ____________________________________</w:t>
      </w:r>
      <w:proofErr w:type="gramStart"/>
      <w:r>
        <w:rPr>
          <w:rFonts w:ascii="Arial" w:hAnsi="Arial" w:cs="Arial"/>
          <w:sz w:val="24"/>
          <w:szCs w:val="24"/>
        </w:rPr>
        <w:t xml:space="preserve">  </w:t>
      </w:r>
      <w:proofErr w:type="gramEnd"/>
      <w:r>
        <w:rPr>
          <w:rFonts w:ascii="Arial" w:hAnsi="Arial" w:cs="Arial"/>
          <w:sz w:val="24"/>
          <w:szCs w:val="24"/>
        </w:rPr>
        <w:t>Presidente e Relator</w:t>
      </w:r>
    </w:p>
    <w:p w:rsidR="00C2437A" w:rsidRDefault="00C2437A" w:rsidP="00C2437A">
      <w:pPr>
        <w:ind w:left="567" w:right="-374"/>
        <w:rPr>
          <w:rFonts w:ascii="Arial" w:hAnsi="Arial" w:cs="Arial"/>
          <w:b/>
          <w:sz w:val="24"/>
          <w:szCs w:val="24"/>
        </w:rPr>
      </w:pPr>
      <w:r>
        <w:rPr>
          <w:rFonts w:ascii="Arial" w:hAnsi="Arial" w:cs="Arial"/>
          <w:sz w:val="24"/>
          <w:szCs w:val="24"/>
        </w:rPr>
        <w:t xml:space="preserve">                            </w:t>
      </w:r>
      <w:r>
        <w:rPr>
          <w:rFonts w:ascii="Arial" w:hAnsi="Arial" w:cs="Arial"/>
          <w:b/>
          <w:sz w:val="24"/>
          <w:szCs w:val="24"/>
        </w:rPr>
        <w:t>Farmacêutico Jéferson Yashuda</w:t>
      </w:r>
    </w:p>
    <w:p w:rsidR="00C2437A" w:rsidRDefault="00C2437A" w:rsidP="00C2437A">
      <w:pPr>
        <w:ind w:left="567" w:right="-374"/>
        <w:rPr>
          <w:rFonts w:ascii="Arial" w:hAnsi="Arial" w:cs="Arial"/>
          <w:b/>
          <w:sz w:val="24"/>
          <w:szCs w:val="24"/>
        </w:rPr>
      </w:pPr>
    </w:p>
    <w:p w:rsidR="00C2437A" w:rsidRDefault="00C2437A" w:rsidP="00C2437A">
      <w:pPr>
        <w:ind w:left="567" w:right="-374"/>
        <w:rPr>
          <w:rFonts w:ascii="Arial" w:hAnsi="Arial" w:cs="Arial"/>
          <w:b/>
          <w:sz w:val="24"/>
          <w:szCs w:val="24"/>
        </w:rPr>
      </w:pPr>
      <w:r>
        <w:rPr>
          <w:rFonts w:ascii="Arial" w:hAnsi="Arial" w:cs="Arial"/>
          <w:b/>
          <w:sz w:val="24"/>
          <w:szCs w:val="24"/>
        </w:rPr>
        <w:t xml:space="preserve">                                            </w:t>
      </w:r>
    </w:p>
    <w:p w:rsidR="00C2437A" w:rsidRDefault="00C2437A" w:rsidP="00C2437A">
      <w:pPr>
        <w:ind w:left="567" w:right="-374"/>
        <w:rPr>
          <w:rFonts w:ascii="Arial" w:hAnsi="Arial" w:cs="Arial"/>
          <w:b/>
          <w:sz w:val="24"/>
          <w:szCs w:val="24"/>
        </w:rPr>
      </w:pPr>
    </w:p>
    <w:p w:rsidR="00C2437A" w:rsidRDefault="00C2437A" w:rsidP="00C2437A">
      <w:pPr>
        <w:ind w:left="567" w:right="-374"/>
        <w:rPr>
          <w:rFonts w:ascii="Arial" w:hAnsi="Arial" w:cs="Arial"/>
          <w:sz w:val="24"/>
          <w:szCs w:val="24"/>
        </w:rPr>
      </w:pPr>
      <w:r>
        <w:rPr>
          <w:rFonts w:ascii="Arial" w:hAnsi="Arial" w:cs="Arial"/>
          <w:sz w:val="24"/>
          <w:szCs w:val="24"/>
        </w:rPr>
        <w:t xml:space="preserve">                 ____________________________________</w:t>
      </w:r>
    </w:p>
    <w:p w:rsidR="00C2437A" w:rsidRDefault="00C2437A" w:rsidP="00C2437A">
      <w:pPr>
        <w:ind w:left="567" w:right="-374"/>
        <w:rPr>
          <w:rFonts w:ascii="Arial" w:hAnsi="Arial" w:cs="Arial"/>
          <w:b/>
          <w:sz w:val="24"/>
          <w:szCs w:val="24"/>
        </w:rPr>
      </w:pPr>
      <w:r>
        <w:rPr>
          <w:rFonts w:ascii="Arial" w:hAnsi="Arial" w:cs="Arial"/>
          <w:b/>
          <w:sz w:val="24"/>
          <w:szCs w:val="24"/>
        </w:rPr>
        <w:t xml:space="preserve">                                          Roberval Fraiz</w:t>
      </w:r>
    </w:p>
    <w:p w:rsidR="00C2437A" w:rsidRDefault="00C2437A" w:rsidP="00C2437A">
      <w:pPr>
        <w:ind w:left="567" w:right="-374"/>
        <w:rPr>
          <w:rFonts w:ascii="Arial" w:hAnsi="Arial" w:cs="Arial"/>
          <w:b/>
          <w:sz w:val="24"/>
          <w:szCs w:val="24"/>
        </w:rPr>
      </w:pPr>
    </w:p>
    <w:p w:rsidR="00C2437A" w:rsidRDefault="00C2437A" w:rsidP="00C2437A">
      <w:pPr>
        <w:ind w:left="567" w:right="-374"/>
        <w:rPr>
          <w:rFonts w:ascii="Arial" w:hAnsi="Arial" w:cs="Arial"/>
          <w:sz w:val="24"/>
          <w:szCs w:val="24"/>
        </w:rPr>
      </w:pPr>
    </w:p>
    <w:p w:rsidR="00C2437A" w:rsidRDefault="00C2437A" w:rsidP="00C2437A">
      <w:pPr>
        <w:ind w:left="567" w:right="-374"/>
        <w:rPr>
          <w:rFonts w:ascii="Arial" w:hAnsi="Arial" w:cs="Arial"/>
          <w:sz w:val="24"/>
          <w:szCs w:val="24"/>
        </w:rPr>
      </w:pPr>
      <w:r>
        <w:rPr>
          <w:rFonts w:ascii="Arial" w:hAnsi="Arial" w:cs="Arial"/>
          <w:sz w:val="24"/>
          <w:szCs w:val="24"/>
        </w:rPr>
        <w:t xml:space="preserve">                 ____________________________________</w:t>
      </w:r>
    </w:p>
    <w:p w:rsidR="00C2437A" w:rsidRDefault="00C2437A" w:rsidP="00C2437A">
      <w:pPr>
        <w:ind w:left="567" w:right="-374"/>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Edio</w:t>
      </w:r>
      <w:proofErr w:type="spellEnd"/>
      <w:r>
        <w:rPr>
          <w:rFonts w:ascii="Arial" w:hAnsi="Arial" w:cs="Arial"/>
          <w:b/>
          <w:sz w:val="24"/>
          <w:szCs w:val="24"/>
        </w:rPr>
        <w:t xml:space="preserve"> Lopes</w:t>
      </w:r>
    </w:p>
    <w:p w:rsidR="00C2437A" w:rsidRDefault="00C2437A" w:rsidP="00C2437A">
      <w:pPr>
        <w:ind w:left="567" w:right="-374"/>
        <w:rPr>
          <w:rFonts w:ascii="Arial" w:hAnsi="Arial" w:cs="Arial"/>
          <w:sz w:val="24"/>
          <w:szCs w:val="24"/>
        </w:rPr>
      </w:pPr>
    </w:p>
    <w:p w:rsidR="00C2437A" w:rsidRDefault="00C2437A" w:rsidP="00C2437A">
      <w:pPr>
        <w:ind w:left="567" w:right="-374"/>
        <w:rPr>
          <w:rFonts w:ascii="Times New Roman" w:hAnsi="Times New Roman" w:cs="Times New Roman"/>
          <w:sz w:val="20"/>
          <w:szCs w:val="20"/>
        </w:rPr>
      </w:pPr>
      <w:r>
        <w:rPr>
          <w:rFonts w:ascii="Arial" w:hAnsi="Arial" w:cs="Arial"/>
          <w:sz w:val="16"/>
          <w:szCs w:val="16"/>
        </w:rPr>
        <w:t>MRDC/</w:t>
      </w: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ind w:left="567" w:right="-374"/>
        <w:rPr>
          <w:rFonts w:ascii="Arial" w:hAnsi="Arial" w:cs="Arial"/>
          <w:sz w:val="16"/>
          <w:szCs w:val="16"/>
        </w:rPr>
      </w:pPr>
    </w:p>
    <w:p w:rsidR="00C2437A" w:rsidRDefault="00C2437A" w:rsidP="00C2437A">
      <w:pPr>
        <w:rPr>
          <w:rFonts w:ascii="Times New Roman" w:hAnsi="Times New Roman" w:cs="Times New Roman"/>
          <w:sz w:val="20"/>
          <w:szCs w:val="20"/>
        </w:rPr>
      </w:pPr>
    </w:p>
    <w:p w:rsidR="00C2437A" w:rsidRDefault="00C2437A" w:rsidP="00C2437A"/>
    <w:p w:rsidR="00C2437A" w:rsidRDefault="00C2437A" w:rsidP="00C2437A"/>
    <w:p w:rsidR="00C2437A" w:rsidRDefault="00C2437A" w:rsidP="00C2437A"/>
    <w:p w:rsidR="00C2437A" w:rsidRDefault="00C2437A" w:rsidP="00C2437A"/>
    <w:p w:rsidR="00620611" w:rsidRDefault="00620611"/>
    <w:sectPr w:rsidR="00620611"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5839F4"/>
    <w:rsid w:val="00620611"/>
    <w:rsid w:val="00936578"/>
    <w:rsid w:val="00A906D8"/>
    <w:rsid w:val="00AB5A74"/>
    <w:rsid w:val="00C2437A"/>
    <w:rsid w:val="00D167F6"/>
    <w:rsid w:val="00F071AE"/>
    <w:rsid w:val="00F95CF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table" w:styleId="Tabelacomgrade">
    <w:name w:val="Table Grid"/>
    <w:basedOn w:val="Tabelanormal"/>
    <w:uiPriority w:val="99"/>
    <w:rsid w:val="00C2437A"/>
    <w:pPr>
      <w:autoSpaceDE w:val="0"/>
      <w:autoSpaceDN w:val="0"/>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F95CFA"/>
    <w:rPr>
      <w:color w:val="0000FF"/>
      <w:u w:val="single"/>
    </w:rPr>
  </w:style>
  <w:style w:type="paragraph" w:styleId="Textodebalo">
    <w:name w:val="Balloon Text"/>
    <w:basedOn w:val="Normal"/>
    <w:link w:val="TextodebaloChar"/>
    <w:uiPriority w:val="99"/>
    <w:semiHidden/>
    <w:unhideWhenUsed/>
    <w:rsid w:val="00936578"/>
    <w:rPr>
      <w:rFonts w:ascii="Tahoma" w:hAnsi="Tahoma" w:cs="Tahoma"/>
      <w:sz w:val="16"/>
      <w:szCs w:val="16"/>
    </w:rPr>
  </w:style>
  <w:style w:type="character" w:customStyle="1" w:styleId="TextodebaloChar">
    <w:name w:val="Texto de balão Char"/>
    <w:basedOn w:val="Fontepargpadro"/>
    <w:link w:val="Textodebalo"/>
    <w:uiPriority w:val="99"/>
    <w:semiHidden/>
    <w:rsid w:val="00936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41140">
      <w:bodyDiv w:val="1"/>
      <w:marLeft w:val="0"/>
      <w:marRight w:val="0"/>
      <w:marTop w:val="0"/>
      <w:marBottom w:val="0"/>
      <w:divBdr>
        <w:top w:val="none" w:sz="0" w:space="0" w:color="auto"/>
        <w:left w:val="none" w:sz="0" w:space="0" w:color="auto"/>
        <w:bottom w:val="none" w:sz="0" w:space="0" w:color="auto"/>
        <w:right w:val="none" w:sz="0" w:space="0" w:color="auto"/>
      </w:divBdr>
    </w:div>
    <w:div w:id="1375040829">
      <w:bodyDiv w:val="1"/>
      <w:marLeft w:val="0"/>
      <w:marRight w:val="0"/>
      <w:marTop w:val="0"/>
      <w:marBottom w:val="0"/>
      <w:divBdr>
        <w:top w:val="none" w:sz="0" w:space="0" w:color="auto"/>
        <w:left w:val="none" w:sz="0" w:space="0" w:color="auto"/>
        <w:bottom w:val="none" w:sz="0" w:space="0" w:color="auto"/>
        <w:right w:val="none" w:sz="0" w:space="0" w:color="auto"/>
      </w:divBdr>
    </w:div>
    <w:div w:id="160152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ara-arq.sp.gov.br/camver/leimun/06930.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2120</Words>
  <Characters>11453</Characters>
  <Application>Microsoft Office Word</Application>
  <DocSecurity>0</DocSecurity>
  <Lines>95</Lines>
  <Paragraphs>27</Paragraphs>
  <ScaleCrop>false</ScaleCrop>
  <Company/>
  <LinksUpToDate>false</LinksUpToDate>
  <CharactersWithSpaces>13546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R. D. Cavalcanti</cp:lastModifiedBy>
  <cp:revision>11</cp:revision>
  <cp:lastPrinted>2015-06-01T21:46:00Z</cp:lastPrinted>
  <dcterms:created xsi:type="dcterms:W3CDTF">2015-06-01T21:33:00Z</dcterms:created>
  <dcterms:modified xsi:type="dcterms:W3CDTF">2015-06-01T21:54:00Z</dcterms:modified>
</cp:coreProperties>
</file>