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55"/>
        <w:gridCol w:w="2126"/>
        <w:gridCol w:w="797"/>
      </w:tblGrid>
      <w:tr w:rsidR="006D4B78" w:rsidRPr="006D4B78" w:rsidTr="006D4B78">
        <w:tc>
          <w:tcPr>
            <w:tcW w:w="3455" w:type="dxa"/>
            <w:hideMark/>
          </w:tcPr>
          <w:p w:rsidR="0035453B" w:rsidRPr="006D4B78" w:rsidRDefault="0035453B" w:rsidP="00E41841">
            <w:pPr>
              <w:ind w:left="175" w:right="33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4B78">
              <w:rPr>
                <w:rFonts w:asciiTheme="minorHAnsi" w:hAnsiTheme="minorHAnsi"/>
                <w:b/>
                <w:bCs/>
                <w:sz w:val="32"/>
                <w:szCs w:val="32"/>
              </w:rPr>
              <w:t>PROJETO DE LEI N</w:t>
            </w:r>
            <w:r w:rsidRPr="006D4B78">
              <w:rPr>
                <w:rFonts w:asciiTheme="minorHAnsi" w:hAnsiTheme="minorHAnsi"/>
                <w:b/>
                <w:sz w:val="30"/>
              </w:rPr>
              <w:t>º</w:t>
            </w:r>
            <w:r w:rsidRPr="006D4B7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6" w:type="dxa"/>
            <w:hideMark/>
          </w:tcPr>
          <w:p w:rsidR="0035453B" w:rsidRPr="006D4B78" w:rsidRDefault="00592BA4" w:rsidP="00E41841">
            <w:pPr>
              <w:ind w:left="-58" w:right="33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044</w:t>
            </w:r>
            <w:bookmarkStart w:id="0" w:name="_GoBack"/>
            <w:bookmarkEnd w:id="0"/>
          </w:p>
        </w:tc>
        <w:tc>
          <w:tcPr>
            <w:tcW w:w="797" w:type="dxa"/>
          </w:tcPr>
          <w:p w:rsidR="0035453B" w:rsidRPr="006D4B78" w:rsidRDefault="0035453B" w:rsidP="00E41841">
            <w:pPr>
              <w:ind w:right="33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4B78">
              <w:rPr>
                <w:rFonts w:asciiTheme="minorHAnsi" w:hAnsiTheme="minorHAnsi"/>
                <w:b/>
                <w:bCs/>
                <w:sz w:val="32"/>
                <w:szCs w:val="32"/>
              </w:rPr>
              <w:t>/16.</w:t>
            </w:r>
          </w:p>
          <w:p w:rsidR="0035453B" w:rsidRPr="006D4B78" w:rsidRDefault="0035453B" w:rsidP="00E41841">
            <w:pPr>
              <w:ind w:right="33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</w:tr>
    </w:tbl>
    <w:p w:rsidR="0035453B" w:rsidRPr="006D4B78" w:rsidRDefault="0035453B" w:rsidP="006D4B78">
      <w:pPr>
        <w:ind w:left="4536" w:right="33"/>
        <w:jc w:val="both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6D4B78">
      <w:pPr>
        <w:ind w:left="4536" w:right="33"/>
        <w:jc w:val="both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>Confere nova redação ao</w:t>
      </w:r>
      <w:r w:rsidR="006D4B78">
        <w:rPr>
          <w:rFonts w:asciiTheme="minorHAnsi" w:hAnsiTheme="minorHAnsi" w:cs="Arial"/>
          <w:sz w:val="24"/>
          <w:szCs w:val="24"/>
        </w:rPr>
        <w:t>s</w:t>
      </w:r>
      <w:r w:rsidRPr="006D4B78">
        <w:rPr>
          <w:rFonts w:asciiTheme="minorHAnsi" w:hAnsiTheme="minorHAnsi" w:cs="Arial"/>
          <w:sz w:val="24"/>
          <w:szCs w:val="24"/>
        </w:rPr>
        <w:t xml:space="preserve"> §</w:t>
      </w:r>
      <w:r w:rsidR="006D4B78">
        <w:rPr>
          <w:rFonts w:asciiTheme="minorHAnsi" w:hAnsiTheme="minorHAnsi" w:cs="Arial"/>
          <w:sz w:val="24"/>
          <w:szCs w:val="24"/>
        </w:rPr>
        <w:t>§</w:t>
      </w:r>
      <w:r w:rsidRPr="006D4B78">
        <w:rPr>
          <w:rFonts w:asciiTheme="minorHAnsi" w:hAnsiTheme="minorHAnsi" w:cs="Arial"/>
          <w:sz w:val="24"/>
          <w:szCs w:val="24"/>
        </w:rPr>
        <w:t>3º</w:t>
      </w:r>
      <w:r w:rsidR="006D4B78">
        <w:rPr>
          <w:rFonts w:asciiTheme="minorHAnsi" w:hAnsiTheme="minorHAnsi" w:cs="Arial"/>
          <w:sz w:val="24"/>
          <w:szCs w:val="24"/>
        </w:rPr>
        <w:t xml:space="preserve"> a 5º</w:t>
      </w:r>
      <w:r w:rsidRPr="006D4B78">
        <w:rPr>
          <w:rFonts w:asciiTheme="minorHAnsi" w:hAnsiTheme="minorHAnsi" w:cs="Arial"/>
          <w:sz w:val="24"/>
          <w:szCs w:val="24"/>
        </w:rPr>
        <w:t xml:space="preserve"> do artigo 3</w:t>
      </w:r>
      <w:r w:rsidRPr="006D4B78">
        <w:rPr>
          <w:rFonts w:asciiTheme="minorHAnsi" w:hAnsiTheme="minorHAnsi"/>
          <w:sz w:val="24"/>
        </w:rPr>
        <w:t>º</w:t>
      </w:r>
      <w:r w:rsidR="00D93A15">
        <w:rPr>
          <w:rFonts w:asciiTheme="minorHAnsi" w:hAnsiTheme="minorHAnsi"/>
          <w:sz w:val="24"/>
        </w:rPr>
        <w:t xml:space="preserve"> </w:t>
      </w:r>
      <w:r w:rsidRPr="006D4B78">
        <w:rPr>
          <w:rFonts w:asciiTheme="minorHAnsi" w:hAnsiTheme="minorHAnsi" w:cs="Arial"/>
          <w:sz w:val="24"/>
          <w:szCs w:val="24"/>
        </w:rPr>
        <w:t>da Lei n</w:t>
      </w:r>
      <w:r w:rsidRPr="006D4B78">
        <w:rPr>
          <w:rFonts w:asciiTheme="minorHAnsi" w:hAnsiTheme="minorHAnsi"/>
          <w:sz w:val="24"/>
        </w:rPr>
        <w:t>º</w:t>
      </w:r>
      <w:r w:rsidRPr="006D4B78">
        <w:rPr>
          <w:rFonts w:asciiTheme="minorHAnsi" w:hAnsiTheme="minorHAnsi" w:cs="Arial"/>
          <w:sz w:val="24"/>
          <w:szCs w:val="24"/>
        </w:rPr>
        <w:t xml:space="preserve"> 7.733, de 24 de maio de 2012, que regula o procedimento para aplicação do Art. 1.276 do Código Civil – Instituto do Abandono, incluindo novos parâme</w:t>
      </w:r>
      <w:r w:rsidR="006D4B78">
        <w:rPr>
          <w:rFonts w:asciiTheme="minorHAnsi" w:hAnsiTheme="minorHAnsi" w:cs="Arial"/>
          <w:sz w:val="24"/>
          <w:szCs w:val="24"/>
        </w:rPr>
        <w:t xml:space="preserve">tros para a aplicação de multas. </w:t>
      </w:r>
    </w:p>
    <w:p w:rsidR="0035453B" w:rsidRDefault="0035453B" w:rsidP="0035453B">
      <w:pPr>
        <w:ind w:left="5103" w:right="33"/>
        <w:jc w:val="both"/>
        <w:rPr>
          <w:rFonts w:asciiTheme="minorHAnsi" w:hAnsiTheme="minorHAnsi" w:cs="Arial"/>
          <w:sz w:val="24"/>
          <w:szCs w:val="24"/>
        </w:rPr>
      </w:pPr>
    </w:p>
    <w:p w:rsidR="006D4B78" w:rsidRDefault="006D4B78" w:rsidP="0035453B">
      <w:pPr>
        <w:ind w:left="5103" w:right="33"/>
        <w:jc w:val="both"/>
        <w:rPr>
          <w:rFonts w:asciiTheme="minorHAnsi" w:hAnsiTheme="minorHAnsi" w:cs="Arial"/>
          <w:sz w:val="24"/>
          <w:szCs w:val="24"/>
        </w:rPr>
      </w:pPr>
    </w:p>
    <w:p w:rsidR="006D4B78" w:rsidRPr="006D4B78" w:rsidRDefault="006D4B78" w:rsidP="0035453B">
      <w:pPr>
        <w:ind w:left="5103" w:right="33"/>
        <w:jc w:val="both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567" w:right="33" w:firstLine="2835"/>
        <w:jc w:val="both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b/>
          <w:bCs/>
          <w:sz w:val="24"/>
          <w:szCs w:val="24"/>
        </w:rPr>
        <w:t>Art. 1</w:t>
      </w:r>
      <w:r w:rsidRPr="006D4B78">
        <w:rPr>
          <w:rFonts w:asciiTheme="minorHAnsi" w:hAnsiTheme="minorHAnsi"/>
          <w:b/>
          <w:sz w:val="24"/>
        </w:rPr>
        <w:t>º</w:t>
      </w:r>
      <w:r w:rsidRPr="006D4B78">
        <w:rPr>
          <w:rFonts w:asciiTheme="minorHAnsi" w:hAnsiTheme="minorHAnsi" w:cs="Arial"/>
          <w:sz w:val="24"/>
          <w:szCs w:val="24"/>
        </w:rPr>
        <w:t xml:space="preserve"> </w:t>
      </w:r>
      <w:r w:rsidR="009F4D72" w:rsidRPr="006D4B78">
        <w:rPr>
          <w:rFonts w:asciiTheme="minorHAnsi" w:hAnsiTheme="minorHAnsi" w:cs="Arial"/>
          <w:sz w:val="24"/>
          <w:szCs w:val="24"/>
        </w:rPr>
        <w:t xml:space="preserve">Os §§3º, 4º e 5º </w:t>
      </w:r>
      <w:r w:rsidRPr="006D4B78">
        <w:rPr>
          <w:rFonts w:asciiTheme="minorHAnsi" w:hAnsiTheme="minorHAnsi" w:cs="Arial"/>
          <w:sz w:val="24"/>
          <w:szCs w:val="24"/>
        </w:rPr>
        <w:t>do artigo 3º, da Lei nº 7.733, de 24 de maio de 2012, passa</w:t>
      </w:r>
      <w:r w:rsidR="00F13791">
        <w:rPr>
          <w:rFonts w:asciiTheme="minorHAnsi" w:hAnsiTheme="minorHAnsi" w:cs="Arial"/>
          <w:sz w:val="24"/>
          <w:szCs w:val="24"/>
        </w:rPr>
        <w:t>m</w:t>
      </w:r>
      <w:r w:rsidRPr="006D4B78">
        <w:rPr>
          <w:rFonts w:asciiTheme="minorHAnsi" w:hAnsiTheme="minorHAnsi" w:cs="Arial"/>
          <w:sz w:val="24"/>
          <w:szCs w:val="24"/>
        </w:rPr>
        <w:t xml:space="preserve"> a vigorar com a seguinte redação:</w:t>
      </w:r>
    </w:p>
    <w:p w:rsidR="0035453B" w:rsidRPr="006D4B78" w:rsidRDefault="0035453B" w:rsidP="0035453B">
      <w:pPr>
        <w:ind w:left="567" w:right="33" w:firstLine="2835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b/>
          <w:bCs/>
          <w:sz w:val="24"/>
          <w:szCs w:val="24"/>
        </w:rPr>
        <w:t>“</w:t>
      </w:r>
      <w:r w:rsidRPr="006D4B78">
        <w:rPr>
          <w:rFonts w:asciiTheme="minorHAnsi" w:hAnsiTheme="minorHAnsi" w:cs="Arial"/>
          <w:bCs/>
          <w:sz w:val="24"/>
          <w:szCs w:val="24"/>
        </w:rPr>
        <w:t xml:space="preserve">§3º </w:t>
      </w:r>
      <w:r w:rsidRPr="006D4B78">
        <w:rPr>
          <w:rFonts w:asciiTheme="minorHAnsi" w:hAnsiTheme="minorHAnsi" w:cs="Arial"/>
          <w:sz w:val="24"/>
          <w:szCs w:val="24"/>
        </w:rPr>
        <w:t>Iniciado o processo de que trata esta lei, decorrido o prazo de 30 (trinta) dias sem que ocorra qualquer manifestação do proprietário ou a adoção de medidas para sanar as inconformidades aferidas no auto de infração, será aplicada multa de acordo com a área do imóvel, conforme os seguintes parâmetros: (NR)</w:t>
      </w: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b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 xml:space="preserve">I – para imóveis de até 200 m² (duzentos metros quadrados), multa de 100 (cem) </w:t>
      </w:r>
      <w:proofErr w:type="spellStart"/>
      <w:r w:rsidRPr="006D4B78">
        <w:rPr>
          <w:rFonts w:asciiTheme="minorHAnsi" w:hAnsiTheme="minorHAnsi" w:cs="Arial"/>
          <w:sz w:val="24"/>
          <w:szCs w:val="24"/>
        </w:rPr>
        <w:t>UFM’s</w:t>
      </w:r>
      <w:proofErr w:type="spellEnd"/>
      <w:r w:rsidRPr="006D4B78">
        <w:rPr>
          <w:rFonts w:asciiTheme="minorHAnsi" w:hAnsiTheme="minorHAnsi" w:cs="Arial"/>
          <w:sz w:val="24"/>
          <w:szCs w:val="24"/>
        </w:rPr>
        <w:t xml:space="preserve"> – Unidades Fiscais Municipais</w:t>
      </w:r>
      <w:r w:rsidRPr="006D4B78">
        <w:rPr>
          <w:rFonts w:asciiTheme="minorHAnsi" w:hAnsiTheme="minorHAnsi" w:cs="Arial"/>
          <w:b/>
          <w:sz w:val="24"/>
          <w:szCs w:val="24"/>
        </w:rPr>
        <w:t xml:space="preserve">; </w:t>
      </w:r>
      <w:r w:rsidRPr="006D4B78">
        <w:rPr>
          <w:rFonts w:asciiTheme="minorHAnsi" w:hAnsiTheme="minorHAnsi" w:cs="Arial"/>
          <w:sz w:val="24"/>
          <w:szCs w:val="24"/>
        </w:rPr>
        <w:t>(NR</w:t>
      </w:r>
      <w:proofErr w:type="gramStart"/>
      <w:r w:rsidRPr="006D4B78">
        <w:rPr>
          <w:rFonts w:asciiTheme="minorHAnsi" w:hAnsiTheme="minorHAnsi" w:cs="Arial"/>
          <w:sz w:val="24"/>
          <w:szCs w:val="24"/>
        </w:rPr>
        <w:t>)</w:t>
      </w:r>
      <w:proofErr w:type="gramEnd"/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b/>
          <w:sz w:val="24"/>
          <w:szCs w:val="24"/>
        </w:rPr>
      </w:pP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b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 xml:space="preserve">II – para imóveis com área entre 201 m² (duzentos e um metros quadrados) e 500 m² (quinhentos metros quadrados), multa de 300 (trezentas) </w:t>
      </w:r>
      <w:proofErr w:type="spellStart"/>
      <w:r w:rsidRPr="006D4B78">
        <w:rPr>
          <w:rFonts w:asciiTheme="minorHAnsi" w:hAnsiTheme="minorHAnsi" w:cs="Arial"/>
          <w:sz w:val="24"/>
          <w:szCs w:val="24"/>
        </w:rPr>
        <w:t>UFM’s</w:t>
      </w:r>
      <w:proofErr w:type="spellEnd"/>
      <w:r w:rsidRPr="006D4B78">
        <w:rPr>
          <w:rFonts w:asciiTheme="minorHAnsi" w:hAnsiTheme="minorHAnsi" w:cs="Arial"/>
          <w:sz w:val="24"/>
          <w:szCs w:val="24"/>
        </w:rPr>
        <w:t xml:space="preserve"> – Unidades Fiscais Municipais; (NR</w:t>
      </w:r>
      <w:proofErr w:type="gramStart"/>
      <w:r w:rsidRPr="006D4B78">
        <w:rPr>
          <w:rFonts w:asciiTheme="minorHAnsi" w:hAnsiTheme="minorHAnsi" w:cs="Arial"/>
          <w:sz w:val="24"/>
          <w:szCs w:val="24"/>
        </w:rPr>
        <w:t>)</w:t>
      </w:r>
      <w:proofErr w:type="gramEnd"/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b/>
          <w:sz w:val="24"/>
          <w:szCs w:val="24"/>
        </w:rPr>
      </w:pP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b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 xml:space="preserve">III – para imóveis com área entre 501 m² (quinhentos e um metros quadrados) e 700 m² (setecentos metros quadrados), multa de </w:t>
      </w:r>
      <w:r w:rsidR="00D01718">
        <w:rPr>
          <w:rFonts w:asciiTheme="minorHAnsi" w:hAnsiTheme="minorHAnsi" w:cs="Arial"/>
          <w:sz w:val="24"/>
          <w:szCs w:val="24"/>
        </w:rPr>
        <w:t>10</w:t>
      </w:r>
      <w:r w:rsidRPr="006D4B78">
        <w:rPr>
          <w:rFonts w:asciiTheme="minorHAnsi" w:hAnsiTheme="minorHAnsi" w:cs="Arial"/>
          <w:sz w:val="24"/>
          <w:szCs w:val="24"/>
        </w:rPr>
        <w:t>00 (</w:t>
      </w:r>
      <w:r w:rsidR="00D01718">
        <w:rPr>
          <w:rFonts w:asciiTheme="minorHAnsi" w:hAnsiTheme="minorHAnsi" w:cs="Arial"/>
          <w:sz w:val="24"/>
          <w:szCs w:val="24"/>
        </w:rPr>
        <w:t>um mil</w:t>
      </w:r>
      <w:r w:rsidRPr="006D4B78">
        <w:rPr>
          <w:rFonts w:asciiTheme="minorHAnsi" w:hAnsiTheme="minorHAnsi" w:cs="Arial"/>
          <w:sz w:val="24"/>
          <w:szCs w:val="24"/>
        </w:rPr>
        <w:t xml:space="preserve">) </w:t>
      </w:r>
      <w:proofErr w:type="spellStart"/>
      <w:r w:rsidRPr="006D4B78">
        <w:rPr>
          <w:rFonts w:asciiTheme="minorHAnsi" w:hAnsiTheme="minorHAnsi" w:cs="Arial"/>
          <w:sz w:val="24"/>
          <w:szCs w:val="24"/>
        </w:rPr>
        <w:t>UFM’s</w:t>
      </w:r>
      <w:proofErr w:type="spellEnd"/>
      <w:r w:rsidRPr="006D4B78">
        <w:rPr>
          <w:rFonts w:asciiTheme="minorHAnsi" w:hAnsiTheme="minorHAnsi" w:cs="Arial"/>
          <w:sz w:val="24"/>
          <w:szCs w:val="24"/>
        </w:rPr>
        <w:t xml:space="preserve"> – Unidades Fiscais Municipais; (NR)</w:t>
      </w: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b/>
          <w:sz w:val="24"/>
          <w:szCs w:val="24"/>
        </w:rPr>
      </w:pP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 xml:space="preserve">IV – para imóveis com </w:t>
      </w:r>
      <w:r w:rsidR="00AA20D1">
        <w:rPr>
          <w:rFonts w:asciiTheme="minorHAnsi" w:hAnsiTheme="minorHAnsi" w:cs="Arial"/>
          <w:sz w:val="24"/>
          <w:szCs w:val="24"/>
        </w:rPr>
        <w:t xml:space="preserve">área </w:t>
      </w:r>
      <w:r w:rsidRPr="006D4B78">
        <w:rPr>
          <w:rFonts w:asciiTheme="minorHAnsi" w:hAnsiTheme="minorHAnsi" w:cs="Arial"/>
          <w:sz w:val="24"/>
          <w:szCs w:val="24"/>
        </w:rPr>
        <w:t xml:space="preserve">superior a </w:t>
      </w:r>
      <w:r w:rsidR="00AA20D1">
        <w:rPr>
          <w:rFonts w:asciiTheme="minorHAnsi" w:hAnsiTheme="minorHAnsi" w:cs="Arial"/>
          <w:sz w:val="24"/>
          <w:szCs w:val="24"/>
        </w:rPr>
        <w:t xml:space="preserve">701 </w:t>
      </w:r>
      <w:r w:rsidRPr="006D4B78">
        <w:rPr>
          <w:rFonts w:asciiTheme="minorHAnsi" w:hAnsiTheme="minorHAnsi" w:cs="Arial"/>
          <w:sz w:val="24"/>
          <w:szCs w:val="24"/>
        </w:rPr>
        <w:t>m² (</w:t>
      </w:r>
      <w:r w:rsidR="00AA20D1">
        <w:rPr>
          <w:rFonts w:asciiTheme="minorHAnsi" w:hAnsiTheme="minorHAnsi" w:cs="Arial"/>
          <w:sz w:val="24"/>
          <w:szCs w:val="24"/>
        </w:rPr>
        <w:t xml:space="preserve">setecentos </w:t>
      </w:r>
      <w:r w:rsidRPr="006D4B78">
        <w:rPr>
          <w:rFonts w:asciiTheme="minorHAnsi" w:hAnsiTheme="minorHAnsi" w:cs="Arial"/>
          <w:sz w:val="24"/>
          <w:szCs w:val="24"/>
        </w:rPr>
        <w:t xml:space="preserve">um metros quadrados), multa de </w:t>
      </w:r>
      <w:r w:rsidR="00D01718">
        <w:rPr>
          <w:rFonts w:asciiTheme="minorHAnsi" w:hAnsiTheme="minorHAnsi" w:cs="Arial"/>
          <w:sz w:val="24"/>
          <w:szCs w:val="24"/>
        </w:rPr>
        <w:t>5</w:t>
      </w:r>
      <w:r w:rsidRPr="006D4B78">
        <w:rPr>
          <w:rFonts w:asciiTheme="minorHAnsi" w:hAnsiTheme="minorHAnsi" w:cs="Arial"/>
          <w:sz w:val="24"/>
          <w:szCs w:val="24"/>
        </w:rPr>
        <w:t>000 (</w:t>
      </w:r>
      <w:r w:rsidR="00D01718">
        <w:rPr>
          <w:rFonts w:asciiTheme="minorHAnsi" w:hAnsiTheme="minorHAnsi" w:cs="Arial"/>
          <w:sz w:val="24"/>
          <w:szCs w:val="24"/>
        </w:rPr>
        <w:t xml:space="preserve">cinco </w:t>
      </w:r>
      <w:r w:rsidRPr="006D4B78">
        <w:rPr>
          <w:rFonts w:asciiTheme="minorHAnsi" w:hAnsiTheme="minorHAnsi" w:cs="Arial"/>
          <w:sz w:val="24"/>
          <w:szCs w:val="24"/>
        </w:rPr>
        <w:t xml:space="preserve">mil) </w:t>
      </w:r>
      <w:proofErr w:type="spellStart"/>
      <w:r w:rsidRPr="006D4B78">
        <w:rPr>
          <w:rFonts w:asciiTheme="minorHAnsi" w:hAnsiTheme="minorHAnsi" w:cs="Arial"/>
          <w:sz w:val="24"/>
          <w:szCs w:val="24"/>
        </w:rPr>
        <w:t>UFM’s</w:t>
      </w:r>
      <w:proofErr w:type="spellEnd"/>
      <w:r w:rsidRPr="006D4B78">
        <w:rPr>
          <w:rFonts w:asciiTheme="minorHAnsi" w:hAnsiTheme="minorHAnsi" w:cs="Arial"/>
          <w:sz w:val="24"/>
          <w:szCs w:val="24"/>
        </w:rPr>
        <w:t xml:space="preserve"> – Unid</w:t>
      </w:r>
      <w:r w:rsidR="009F4D72" w:rsidRPr="006D4B78">
        <w:rPr>
          <w:rFonts w:asciiTheme="minorHAnsi" w:hAnsiTheme="minorHAnsi" w:cs="Arial"/>
          <w:sz w:val="24"/>
          <w:szCs w:val="24"/>
        </w:rPr>
        <w:t xml:space="preserve">ades Fiscais </w:t>
      </w:r>
      <w:proofErr w:type="gramStart"/>
      <w:r w:rsidR="009F4D72" w:rsidRPr="006D4B78">
        <w:rPr>
          <w:rFonts w:asciiTheme="minorHAnsi" w:hAnsiTheme="minorHAnsi" w:cs="Arial"/>
          <w:sz w:val="24"/>
          <w:szCs w:val="24"/>
        </w:rPr>
        <w:t>Municipais;</w:t>
      </w:r>
      <w:proofErr w:type="gramEnd"/>
      <w:r w:rsidR="009F4D72" w:rsidRPr="006D4B78">
        <w:rPr>
          <w:rFonts w:asciiTheme="minorHAnsi" w:hAnsiTheme="minorHAnsi" w:cs="Arial"/>
          <w:sz w:val="24"/>
          <w:szCs w:val="24"/>
        </w:rPr>
        <w:t xml:space="preserve">(NR) </w:t>
      </w:r>
    </w:p>
    <w:p w:rsidR="004657CC" w:rsidRDefault="004657CC" w:rsidP="0035453B">
      <w:pPr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</w:p>
    <w:p w:rsidR="00663E68" w:rsidRPr="006D4B78" w:rsidRDefault="0035453B" w:rsidP="0035453B">
      <w:pPr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  <w:r w:rsidRPr="006D4B78">
        <w:rPr>
          <w:rFonts w:asciiTheme="minorHAnsi" w:hAnsiTheme="minorHAnsi" w:cs="Arial"/>
          <w:bCs/>
          <w:sz w:val="24"/>
          <w:szCs w:val="24"/>
        </w:rPr>
        <w:t xml:space="preserve">§4º 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 xml:space="preserve">Constatada a inocorrência </w:t>
      </w:r>
      <w:r w:rsidR="00663E68" w:rsidRPr="006D4B78">
        <w:rPr>
          <w:rFonts w:asciiTheme="minorHAnsi" w:hAnsiTheme="minorHAnsi" w:cs="Arial"/>
          <w:sz w:val="24"/>
          <w:szCs w:val="24"/>
        </w:rPr>
        <w:t>qualquer manifestação do proprietário ou a adoção de medidas para sanar as inconformidades aferidas no auto de infração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 xml:space="preserve"> ao final do prazo fixado no parágrafo anterior, a multa lá prevista será aplicada: (NR)</w:t>
      </w:r>
    </w:p>
    <w:p w:rsidR="0035453B" w:rsidRPr="006D4B78" w:rsidRDefault="00663E68" w:rsidP="0035453B">
      <w:pPr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  <w:r w:rsidRPr="006D4B78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B425CD" w:rsidRDefault="00B425CD">
      <w:pPr>
        <w:autoSpaceDE/>
        <w:autoSpaceDN/>
        <w:spacing w:after="200" w:line="276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br w:type="page"/>
      </w:r>
    </w:p>
    <w:p w:rsidR="0035453B" w:rsidRPr="006D4B78" w:rsidRDefault="0035453B" w:rsidP="0035453B">
      <w:pPr>
        <w:pStyle w:val="PargrafodaLista"/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  <w:r w:rsidRPr="006D4B78">
        <w:rPr>
          <w:rFonts w:asciiTheme="minorHAnsi" w:hAnsiTheme="minorHAnsi" w:cs="Arial"/>
          <w:bCs/>
          <w:sz w:val="24"/>
          <w:szCs w:val="24"/>
        </w:rPr>
        <w:lastRenderedPageBreak/>
        <w:t xml:space="preserve">I 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>–</w:t>
      </w:r>
      <w:r w:rsidRPr="006D4B7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>por seu dobro, caso a inércia perdure por 30</w:t>
      </w:r>
      <w:r w:rsidRPr="006D4B78">
        <w:rPr>
          <w:rFonts w:asciiTheme="minorHAnsi" w:hAnsiTheme="minorHAnsi" w:cs="Arial"/>
          <w:bCs/>
          <w:sz w:val="24"/>
          <w:szCs w:val="24"/>
        </w:rPr>
        <w:t xml:space="preserve"> (trinta)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 xml:space="preserve"> dias;</w:t>
      </w:r>
      <w:r w:rsidR="00637805" w:rsidRPr="006D4B78">
        <w:rPr>
          <w:rFonts w:asciiTheme="minorHAnsi" w:hAnsiTheme="minorHAnsi" w:cs="Arial"/>
          <w:bCs/>
          <w:sz w:val="24"/>
          <w:szCs w:val="24"/>
        </w:rPr>
        <w:t xml:space="preserve"> (NR</w:t>
      </w:r>
      <w:proofErr w:type="gramStart"/>
      <w:r w:rsidR="00637805" w:rsidRPr="006D4B78">
        <w:rPr>
          <w:rFonts w:asciiTheme="minorHAnsi" w:hAnsiTheme="minorHAnsi" w:cs="Arial"/>
          <w:bCs/>
          <w:sz w:val="24"/>
          <w:szCs w:val="24"/>
        </w:rPr>
        <w:t>)</w:t>
      </w:r>
      <w:proofErr w:type="gramEnd"/>
      <w:r w:rsidRPr="006D4B78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35453B" w:rsidRPr="006D4B78" w:rsidRDefault="0035453B" w:rsidP="0035453B">
      <w:pPr>
        <w:pStyle w:val="PargrafodaLista"/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</w:p>
    <w:p w:rsidR="0035453B" w:rsidRPr="006D4B78" w:rsidRDefault="0035453B" w:rsidP="0035453B">
      <w:pPr>
        <w:pStyle w:val="PargrafodaLista"/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  <w:r w:rsidRPr="006D4B78">
        <w:rPr>
          <w:rFonts w:asciiTheme="minorHAnsi" w:hAnsiTheme="minorHAnsi" w:cs="Arial"/>
          <w:bCs/>
          <w:sz w:val="24"/>
          <w:szCs w:val="24"/>
        </w:rPr>
        <w:t xml:space="preserve">II – 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 xml:space="preserve">por seu triplo, caso a inércia perdure por 60 (sessenta) dias; </w:t>
      </w:r>
      <w:r w:rsidR="00637805" w:rsidRPr="006D4B78">
        <w:rPr>
          <w:rFonts w:asciiTheme="minorHAnsi" w:hAnsiTheme="minorHAnsi" w:cs="Arial"/>
          <w:bCs/>
          <w:sz w:val="24"/>
          <w:szCs w:val="24"/>
        </w:rPr>
        <w:t>(NR</w:t>
      </w:r>
      <w:proofErr w:type="gramStart"/>
      <w:r w:rsidR="00637805" w:rsidRPr="006D4B78">
        <w:rPr>
          <w:rFonts w:asciiTheme="minorHAnsi" w:hAnsiTheme="minorHAnsi" w:cs="Arial"/>
          <w:bCs/>
          <w:sz w:val="24"/>
          <w:szCs w:val="24"/>
        </w:rPr>
        <w:t>)</w:t>
      </w:r>
      <w:proofErr w:type="gramEnd"/>
    </w:p>
    <w:p w:rsidR="0035453B" w:rsidRPr="006D4B78" w:rsidRDefault="0035453B" w:rsidP="0035453B">
      <w:pPr>
        <w:pStyle w:val="PargrafodaLista"/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</w:p>
    <w:p w:rsidR="0035453B" w:rsidRPr="006D4B78" w:rsidRDefault="0035453B" w:rsidP="00663E68">
      <w:pPr>
        <w:pStyle w:val="PargrafodaLista"/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  <w:r w:rsidRPr="006D4B78">
        <w:rPr>
          <w:rFonts w:asciiTheme="minorHAnsi" w:hAnsiTheme="minorHAnsi" w:cs="Arial"/>
          <w:bCs/>
          <w:sz w:val="24"/>
          <w:szCs w:val="24"/>
        </w:rPr>
        <w:t xml:space="preserve">III – 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>por seu quádrup</w:t>
      </w:r>
      <w:r w:rsidR="004657CC">
        <w:rPr>
          <w:rFonts w:asciiTheme="minorHAnsi" w:hAnsiTheme="minorHAnsi" w:cs="Arial"/>
          <w:bCs/>
          <w:sz w:val="24"/>
          <w:szCs w:val="24"/>
        </w:rPr>
        <w:t xml:space="preserve">lo, caso a inércia perdure por </w:t>
      </w:r>
      <w:r w:rsidR="00663E68" w:rsidRPr="006D4B78">
        <w:rPr>
          <w:rFonts w:asciiTheme="minorHAnsi" w:hAnsiTheme="minorHAnsi" w:cs="Arial"/>
          <w:bCs/>
          <w:sz w:val="24"/>
          <w:szCs w:val="24"/>
        </w:rPr>
        <w:t>90 (dias).</w:t>
      </w:r>
      <w:r w:rsidRPr="006D4B7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CD246A" w:rsidRPr="006D4B78">
        <w:rPr>
          <w:rFonts w:asciiTheme="minorHAnsi" w:hAnsiTheme="minorHAnsi" w:cs="Arial"/>
          <w:bCs/>
          <w:sz w:val="24"/>
          <w:szCs w:val="24"/>
        </w:rPr>
        <w:t>(NR)</w:t>
      </w:r>
    </w:p>
    <w:p w:rsidR="0035453B" w:rsidRPr="006D4B78" w:rsidRDefault="0035453B" w:rsidP="0035453B">
      <w:pPr>
        <w:ind w:right="33"/>
        <w:jc w:val="both"/>
        <w:rPr>
          <w:rFonts w:asciiTheme="minorHAnsi" w:hAnsiTheme="minorHAnsi" w:cs="Arial"/>
          <w:bCs/>
          <w:sz w:val="24"/>
          <w:szCs w:val="24"/>
        </w:rPr>
      </w:pPr>
    </w:p>
    <w:p w:rsidR="0035453B" w:rsidRPr="006D4B78" w:rsidRDefault="0035453B" w:rsidP="0035453B">
      <w:pPr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  <w:r w:rsidRPr="006D4B78">
        <w:rPr>
          <w:rFonts w:asciiTheme="minorHAnsi" w:hAnsiTheme="minorHAnsi" w:cs="Arial"/>
          <w:bCs/>
          <w:sz w:val="24"/>
          <w:szCs w:val="24"/>
        </w:rPr>
        <w:t xml:space="preserve">§5º </w:t>
      </w:r>
      <w:r w:rsidR="004657CC">
        <w:rPr>
          <w:rFonts w:asciiTheme="minorHAnsi" w:hAnsiTheme="minorHAnsi" w:cs="Arial"/>
          <w:bCs/>
          <w:sz w:val="24"/>
          <w:szCs w:val="24"/>
        </w:rPr>
        <w:t xml:space="preserve">Decorridos </w:t>
      </w:r>
      <w:r w:rsidRPr="006D4B78">
        <w:rPr>
          <w:rFonts w:asciiTheme="minorHAnsi" w:hAnsiTheme="minorHAnsi" w:cs="Arial"/>
          <w:bCs/>
          <w:sz w:val="24"/>
          <w:szCs w:val="24"/>
        </w:rPr>
        <w:t>120</w:t>
      </w:r>
      <w:r w:rsidR="00637805" w:rsidRPr="006D4B78">
        <w:rPr>
          <w:rFonts w:asciiTheme="minorHAnsi" w:hAnsiTheme="minorHAnsi" w:cs="Arial"/>
          <w:bCs/>
          <w:sz w:val="24"/>
          <w:szCs w:val="24"/>
        </w:rPr>
        <w:t xml:space="preserve"> (cento e vinte dias)</w:t>
      </w:r>
      <w:r w:rsidRPr="006D4B78">
        <w:rPr>
          <w:rFonts w:asciiTheme="minorHAnsi" w:hAnsiTheme="minorHAnsi" w:cs="Arial"/>
          <w:bCs/>
          <w:sz w:val="24"/>
          <w:szCs w:val="24"/>
        </w:rPr>
        <w:t xml:space="preserve"> dias</w:t>
      </w:r>
      <w:r w:rsidR="004657CC">
        <w:rPr>
          <w:rFonts w:asciiTheme="minorHAnsi" w:hAnsiTheme="minorHAnsi" w:cs="Arial"/>
          <w:bCs/>
          <w:sz w:val="24"/>
          <w:szCs w:val="24"/>
        </w:rPr>
        <w:t xml:space="preserve"> após a autuação prevista no §3º</w:t>
      </w:r>
      <w:r w:rsidR="00693793">
        <w:rPr>
          <w:rFonts w:asciiTheme="minorHAnsi" w:hAnsiTheme="minorHAnsi" w:cs="Arial"/>
          <w:bCs/>
          <w:sz w:val="24"/>
          <w:szCs w:val="24"/>
        </w:rPr>
        <w:t xml:space="preserve"> sem </w:t>
      </w:r>
      <w:r w:rsidR="00693793" w:rsidRPr="00693793">
        <w:rPr>
          <w:rFonts w:asciiTheme="minorHAnsi" w:hAnsiTheme="minorHAnsi" w:cs="Arial"/>
          <w:bCs/>
          <w:sz w:val="24"/>
          <w:szCs w:val="24"/>
        </w:rPr>
        <w:t>qualquer manifestação do proprietário ou a adoção de medidas para sanar as inconformidades aferidas no auto de infração</w:t>
      </w:r>
      <w:r w:rsidR="004657CC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6D4B78">
        <w:rPr>
          <w:rFonts w:asciiTheme="minorHAnsi" w:hAnsiTheme="minorHAnsi" w:cs="Arial"/>
          <w:bCs/>
          <w:sz w:val="24"/>
          <w:szCs w:val="24"/>
        </w:rPr>
        <w:t xml:space="preserve">a Prefeitura deverá executar os serviços </w:t>
      </w:r>
      <w:r w:rsidR="00693793">
        <w:rPr>
          <w:rFonts w:asciiTheme="minorHAnsi" w:hAnsiTheme="minorHAnsi" w:cs="Arial"/>
          <w:bCs/>
          <w:sz w:val="24"/>
          <w:szCs w:val="24"/>
        </w:rPr>
        <w:t xml:space="preserve">inerentes às inconformidades </w:t>
      </w:r>
      <w:r w:rsidRPr="006D4B78">
        <w:rPr>
          <w:rFonts w:asciiTheme="minorHAnsi" w:hAnsiTheme="minorHAnsi" w:cs="Arial"/>
          <w:bCs/>
          <w:sz w:val="24"/>
          <w:szCs w:val="24"/>
        </w:rPr>
        <w:t>e lançar os valores das multas e dos serviços na D</w:t>
      </w:r>
      <w:r w:rsidR="00CD246A" w:rsidRPr="006D4B78">
        <w:rPr>
          <w:rFonts w:asciiTheme="minorHAnsi" w:hAnsiTheme="minorHAnsi" w:cs="Arial"/>
          <w:bCs/>
          <w:sz w:val="24"/>
          <w:szCs w:val="24"/>
        </w:rPr>
        <w:t>í</w:t>
      </w:r>
      <w:r w:rsidRPr="006D4B78">
        <w:rPr>
          <w:rFonts w:asciiTheme="minorHAnsi" w:hAnsiTheme="minorHAnsi" w:cs="Arial"/>
          <w:bCs/>
          <w:sz w:val="24"/>
          <w:szCs w:val="24"/>
        </w:rPr>
        <w:t>vida Ativa.</w:t>
      </w:r>
      <w:r w:rsidR="00CD246A" w:rsidRPr="006D4B78">
        <w:rPr>
          <w:rFonts w:asciiTheme="minorHAnsi" w:hAnsiTheme="minorHAnsi" w:cs="Arial"/>
          <w:bCs/>
          <w:sz w:val="24"/>
          <w:szCs w:val="24"/>
        </w:rPr>
        <w:t xml:space="preserve"> (NR)</w:t>
      </w:r>
    </w:p>
    <w:p w:rsidR="00CD246A" w:rsidRPr="006D4B78" w:rsidRDefault="00CD246A" w:rsidP="0035453B">
      <w:pPr>
        <w:ind w:left="3402" w:right="33"/>
        <w:jc w:val="both"/>
        <w:rPr>
          <w:rFonts w:asciiTheme="minorHAnsi" w:hAnsiTheme="minorHAnsi" w:cs="Arial"/>
          <w:bCs/>
          <w:sz w:val="24"/>
          <w:szCs w:val="24"/>
        </w:rPr>
      </w:pPr>
    </w:p>
    <w:p w:rsidR="0035453B" w:rsidRPr="006D4B78" w:rsidRDefault="00F13791" w:rsidP="0035453B">
      <w:pPr>
        <w:ind w:left="567" w:right="33" w:firstLine="283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Art. 2</w:t>
      </w:r>
      <w:r w:rsidR="0035453B" w:rsidRPr="006D4B78">
        <w:rPr>
          <w:rFonts w:asciiTheme="minorHAnsi" w:hAnsiTheme="minorHAnsi"/>
          <w:b/>
          <w:sz w:val="24"/>
        </w:rPr>
        <w:t>º</w:t>
      </w:r>
      <w:r w:rsidR="0035453B" w:rsidRPr="006D4B78">
        <w:rPr>
          <w:rFonts w:asciiTheme="minorHAnsi" w:hAnsiTheme="minorHAnsi" w:cs="Arial"/>
          <w:sz w:val="24"/>
          <w:szCs w:val="24"/>
        </w:rPr>
        <w:t xml:space="preserve"> Esta lei entra em vigor na data de sua publicação, produzindo efeitos em 60 (sessenta) dias após sua publicação.</w:t>
      </w:r>
    </w:p>
    <w:p w:rsidR="0035453B" w:rsidRPr="006D4B78" w:rsidRDefault="0035453B" w:rsidP="0035453B">
      <w:pPr>
        <w:ind w:left="567" w:right="33" w:firstLine="2835"/>
        <w:jc w:val="center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6D4B78" w:rsidRPr="006D4B78">
        <w:rPr>
          <w:rFonts w:asciiTheme="minorHAnsi" w:hAnsiTheme="minorHAnsi" w:cs="Arial"/>
          <w:sz w:val="24"/>
          <w:szCs w:val="24"/>
        </w:rPr>
        <w:t xml:space="preserve">16 de fevereiro </w:t>
      </w:r>
      <w:r w:rsidRPr="006D4B78">
        <w:rPr>
          <w:rFonts w:asciiTheme="minorHAnsi" w:hAnsiTheme="minorHAnsi" w:cs="Arial"/>
          <w:sz w:val="24"/>
          <w:szCs w:val="24"/>
        </w:rPr>
        <w:t>de 2016.</w:t>
      </w: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708" w:right="3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D4B78">
        <w:rPr>
          <w:rFonts w:asciiTheme="minorHAnsi" w:hAnsiTheme="minorHAnsi" w:cs="Arial"/>
          <w:b/>
          <w:bCs/>
          <w:sz w:val="24"/>
          <w:szCs w:val="24"/>
        </w:rPr>
        <w:t xml:space="preserve"> ROBERVAL FRAIZ</w:t>
      </w: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16"/>
          <w:szCs w:val="16"/>
        </w:rPr>
      </w:pPr>
      <w:r w:rsidRPr="006D4B78">
        <w:rPr>
          <w:rFonts w:asciiTheme="minorHAnsi" w:hAnsiTheme="minorHAnsi" w:cs="Arial"/>
          <w:sz w:val="24"/>
          <w:szCs w:val="24"/>
        </w:rPr>
        <w:t>Vereador</w:t>
      </w:r>
    </w:p>
    <w:p w:rsidR="00F13791" w:rsidRDefault="00F13791">
      <w:pPr>
        <w:autoSpaceDE/>
        <w:autoSpaceDN/>
        <w:spacing w:after="200" w:line="276" w:lineRule="auto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br w:type="page"/>
      </w:r>
    </w:p>
    <w:p w:rsidR="0035453B" w:rsidRPr="006D4B78" w:rsidRDefault="0035453B" w:rsidP="0035453B">
      <w:pPr>
        <w:ind w:right="33"/>
        <w:jc w:val="center"/>
        <w:rPr>
          <w:rFonts w:asciiTheme="minorHAnsi" w:hAnsiTheme="minorHAnsi" w:cs="Arial"/>
          <w:sz w:val="16"/>
          <w:szCs w:val="16"/>
        </w:rPr>
      </w:pPr>
    </w:p>
    <w:p w:rsidR="00DF73DD" w:rsidRPr="00DF73DD" w:rsidRDefault="00DF73DD" w:rsidP="00DF73DD">
      <w:pPr>
        <w:ind w:right="33"/>
        <w:jc w:val="both"/>
        <w:rPr>
          <w:rFonts w:asciiTheme="minorHAnsi" w:hAnsiTheme="minorHAnsi"/>
          <w:b/>
          <w:sz w:val="32"/>
          <w:szCs w:val="32"/>
        </w:rPr>
      </w:pPr>
      <w:r w:rsidRPr="00DF73DD">
        <w:rPr>
          <w:rFonts w:asciiTheme="minorHAnsi" w:hAnsiTheme="minorHAnsi"/>
          <w:b/>
          <w:sz w:val="32"/>
          <w:szCs w:val="32"/>
        </w:rPr>
        <w:t>JUSTIFICATIVA</w:t>
      </w:r>
    </w:p>
    <w:p w:rsidR="00DF73DD" w:rsidRPr="00DF73DD" w:rsidRDefault="00DF73DD" w:rsidP="00DF73DD">
      <w:pPr>
        <w:ind w:right="33"/>
        <w:jc w:val="both"/>
        <w:rPr>
          <w:rFonts w:asciiTheme="minorHAnsi" w:hAnsiTheme="minorHAnsi"/>
          <w:b/>
          <w:sz w:val="32"/>
          <w:szCs w:val="32"/>
        </w:rPr>
      </w:pPr>
    </w:p>
    <w:p w:rsidR="00DF73DD" w:rsidRPr="00DF73DD" w:rsidRDefault="00DF73DD" w:rsidP="00DF73DD">
      <w:pPr>
        <w:ind w:right="33"/>
        <w:jc w:val="both"/>
        <w:rPr>
          <w:rFonts w:asciiTheme="minorHAnsi" w:hAnsiTheme="minorHAnsi"/>
          <w:b/>
          <w:sz w:val="32"/>
          <w:szCs w:val="32"/>
        </w:rPr>
      </w:pPr>
    </w:p>
    <w:p w:rsidR="00DF73DD" w:rsidRPr="00DF73DD" w:rsidRDefault="00DF73DD" w:rsidP="00DF73DD">
      <w:pPr>
        <w:ind w:right="33"/>
        <w:jc w:val="both"/>
        <w:rPr>
          <w:rFonts w:asciiTheme="minorHAnsi" w:hAnsiTheme="minorHAnsi"/>
          <w:b/>
          <w:sz w:val="32"/>
          <w:szCs w:val="32"/>
        </w:rPr>
      </w:pP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  <w:r w:rsidRPr="00DF73DD">
        <w:rPr>
          <w:rFonts w:asciiTheme="minorHAnsi" w:hAnsiTheme="minorHAnsi"/>
          <w:b/>
          <w:sz w:val="32"/>
          <w:szCs w:val="32"/>
        </w:rPr>
        <w:t>A Lei Municipal nº 7.733, de 24 de maio de 2012 regula o procedimento do Art. 1.276 do Código Civil – Instituto do          Abando e dá outras providências.</w:t>
      </w: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  <w:r w:rsidRPr="00DF73DD">
        <w:rPr>
          <w:rFonts w:asciiTheme="minorHAnsi" w:hAnsiTheme="minorHAnsi"/>
          <w:b/>
          <w:sz w:val="32"/>
          <w:szCs w:val="32"/>
        </w:rPr>
        <w:t xml:space="preserve">O projeto tem por objetivo determinar uma escala de pagamentos gradativos, onde o valor por m² do imóvel tende a corresponder com o valor da </w:t>
      </w:r>
      <w:proofErr w:type="spellStart"/>
      <w:r w:rsidRPr="00DF73DD">
        <w:rPr>
          <w:rFonts w:asciiTheme="minorHAnsi" w:hAnsiTheme="minorHAnsi"/>
          <w:b/>
          <w:sz w:val="32"/>
          <w:szCs w:val="32"/>
        </w:rPr>
        <w:t>UFM’s</w:t>
      </w:r>
      <w:proofErr w:type="spellEnd"/>
      <w:r w:rsidRPr="00DF73DD">
        <w:rPr>
          <w:rFonts w:asciiTheme="minorHAnsi" w:hAnsiTheme="minorHAnsi"/>
          <w:b/>
          <w:sz w:val="32"/>
          <w:szCs w:val="32"/>
        </w:rPr>
        <w:t xml:space="preserve"> – Unidades Fiscais Municipais, como mostra a tabela acima.</w:t>
      </w: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  <w:r w:rsidRPr="00DF73DD">
        <w:rPr>
          <w:rFonts w:asciiTheme="minorHAnsi" w:hAnsiTheme="minorHAnsi"/>
          <w:b/>
          <w:sz w:val="32"/>
          <w:szCs w:val="32"/>
        </w:rPr>
        <w:t>Acredita se, que a maioria dos proprietários, que possuem imóveis com menores (m²) metragens, não possui a mesma disponibilidade financeira que os que possuem (m²) maiores, e com essa Lei, poderíamos colaborar com a igualdade,</w:t>
      </w: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  <w:r w:rsidRPr="00DF73DD">
        <w:rPr>
          <w:rFonts w:asciiTheme="minorHAnsi" w:hAnsiTheme="minorHAnsi"/>
          <w:b/>
          <w:sz w:val="32"/>
          <w:szCs w:val="32"/>
        </w:rPr>
        <w:t>Assim com a regularização deste projeto de lei, proprietários que possuem i</w:t>
      </w:r>
      <w:r w:rsidR="000157CB">
        <w:rPr>
          <w:rFonts w:asciiTheme="minorHAnsi" w:hAnsiTheme="minorHAnsi"/>
          <w:b/>
          <w:sz w:val="32"/>
          <w:szCs w:val="32"/>
        </w:rPr>
        <w:t>móveis com até 200m</w:t>
      </w:r>
      <w:proofErr w:type="gramStart"/>
      <w:r w:rsidR="000157CB">
        <w:rPr>
          <w:rFonts w:asciiTheme="minorHAnsi" w:hAnsiTheme="minorHAnsi"/>
          <w:b/>
          <w:sz w:val="32"/>
          <w:szCs w:val="32"/>
        </w:rPr>
        <w:t>²</w:t>
      </w:r>
      <w:proofErr w:type="gramEnd"/>
      <w:r w:rsidR="000157CB">
        <w:rPr>
          <w:rFonts w:asciiTheme="minorHAnsi" w:hAnsiTheme="minorHAnsi"/>
          <w:b/>
          <w:sz w:val="32"/>
          <w:szCs w:val="32"/>
        </w:rPr>
        <w:t>, pagariam</w:t>
      </w:r>
      <w:r w:rsidRPr="00DF73DD">
        <w:rPr>
          <w:rFonts w:asciiTheme="minorHAnsi" w:hAnsiTheme="minorHAnsi"/>
          <w:b/>
          <w:sz w:val="32"/>
          <w:szCs w:val="32"/>
        </w:rPr>
        <w:t xml:space="preserve"> </w:t>
      </w:r>
      <w:r w:rsidR="000157CB">
        <w:rPr>
          <w:rFonts w:asciiTheme="minorHAnsi" w:hAnsiTheme="minorHAnsi"/>
          <w:b/>
          <w:sz w:val="32"/>
          <w:szCs w:val="32"/>
        </w:rPr>
        <w:t xml:space="preserve">100 </w:t>
      </w:r>
      <w:proofErr w:type="spellStart"/>
      <w:r w:rsidR="000157CB">
        <w:rPr>
          <w:rFonts w:asciiTheme="minorHAnsi" w:hAnsiTheme="minorHAnsi"/>
          <w:b/>
          <w:sz w:val="32"/>
          <w:szCs w:val="32"/>
        </w:rPr>
        <w:t>UFMs</w:t>
      </w:r>
      <w:proofErr w:type="spellEnd"/>
      <w:r w:rsidR="000157CB">
        <w:rPr>
          <w:rFonts w:asciiTheme="minorHAnsi" w:hAnsiTheme="minorHAnsi"/>
          <w:b/>
          <w:sz w:val="32"/>
          <w:szCs w:val="32"/>
        </w:rPr>
        <w:t xml:space="preserve"> </w:t>
      </w:r>
      <w:r w:rsidRPr="00DF73DD">
        <w:rPr>
          <w:rFonts w:asciiTheme="minorHAnsi" w:hAnsiTheme="minorHAnsi"/>
          <w:b/>
          <w:sz w:val="32"/>
          <w:szCs w:val="32"/>
        </w:rPr>
        <w:t xml:space="preserve">e </w:t>
      </w:r>
      <w:r w:rsidR="000157CB" w:rsidRPr="00DF73DD">
        <w:rPr>
          <w:rFonts w:asciiTheme="minorHAnsi" w:hAnsiTheme="minorHAnsi"/>
          <w:b/>
          <w:sz w:val="32"/>
          <w:szCs w:val="32"/>
        </w:rPr>
        <w:t>proprietários que possuem i</w:t>
      </w:r>
      <w:r w:rsidR="000157CB">
        <w:rPr>
          <w:rFonts w:asciiTheme="minorHAnsi" w:hAnsiTheme="minorHAnsi"/>
          <w:b/>
          <w:sz w:val="32"/>
          <w:szCs w:val="32"/>
        </w:rPr>
        <w:t xml:space="preserve">móveis com área superior a 701 </w:t>
      </w:r>
      <w:r w:rsidRPr="00DF73DD">
        <w:rPr>
          <w:rFonts w:asciiTheme="minorHAnsi" w:hAnsiTheme="minorHAnsi"/>
          <w:b/>
          <w:sz w:val="32"/>
          <w:szCs w:val="32"/>
        </w:rPr>
        <w:t>m</w:t>
      </w:r>
      <w:r w:rsidR="000157CB">
        <w:rPr>
          <w:rFonts w:asciiTheme="minorHAnsi" w:hAnsiTheme="minorHAnsi"/>
          <w:b/>
          <w:sz w:val="32"/>
          <w:szCs w:val="32"/>
        </w:rPr>
        <w:t xml:space="preserve">² pagariam 5000 </w:t>
      </w:r>
      <w:proofErr w:type="spellStart"/>
      <w:r w:rsidR="000157CB">
        <w:rPr>
          <w:rFonts w:asciiTheme="minorHAnsi" w:hAnsiTheme="minorHAnsi"/>
          <w:b/>
          <w:sz w:val="32"/>
          <w:szCs w:val="32"/>
        </w:rPr>
        <w:t>UFMs</w:t>
      </w:r>
      <w:proofErr w:type="spellEnd"/>
      <w:r w:rsidR="000157CB">
        <w:rPr>
          <w:rFonts w:asciiTheme="minorHAnsi" w:hAnsiTheme="minorHAnsi"/>
          <w:b/>
          <w:sz w:val="32"/>
          <w:szCs w:val="32"/>
        </w:rPr>
        <w:t xml:space="preserve"> </w:t>
      </w:r>
      <w:r w:rsidRPr="00DF73DD">
        <w:rPr>
          <w:rFonts w:asciiTheme="minorHAnsi" w:hAnsiTheme="minorHAnsi"/>
          <w:b/>
          <w:sz w:val="32"/>
          <w:szCs w:val="32"/>
        </w:rPr>
        <w:t>.</w:t>
      </w:r>
    </w:p>
    <w:p w:rsidR="00DF73DD" w:rsidRPr="00DF73DD" w:rsidRDefault="00DF73DD" w:rsidP="00DF73DD">
      <w:pPr>
        <w:ind w:right="33" w:firstLine="1276"/>
        <w:jc w:val="both"/>
        <w:rPr>
          <w:rFonts w:asciiTheme="minorHAnsi" w:hAnsiTheme="minorHAnsi"/>
          <w:b/>
          <w:sz w:val="32"/>
          <w:szCs w:val="32"/>
        </w:rPr>
      </w:pPr>
    </w:p>
    <w:p w:rsidR="0035453B" w:rsidRPr="006D4B78" w:rsidRDefault="0035453B" w:rsidP="0035453B">
      <w:pPr>
        <w:ind w:right="33"/>
        <w:jc w:val="both"/>
        <w:rPr>
          <w:rFonts w:asciiTheme="minorHAnsi" w:hAnsiTheme="minorHAnsi"/>
          <w:sz w:val="32"/>
          <w:szCs w:val="32"/>
        </w:rPr>
      </w:pPr>
    </w:p>
    <w:p w:rsidR="0035453B" w:rsidRPr="006D4B78" w:rsidRDefault="0035453B" w:rsidP="0035453B">
      <w:pPr>
        <w:ind w:right="33"/>
        <w:jc w:val="both"/>
        <w:rPr>
          <w:rFonts w:asciiTheme="minorHAnsi" w:hAnsiTheme="minorHAnsi"/>
          <w:sz w:val="32"/>
          <w:szCs w:val="32"/>
        </w:rPr>
      </w:pPr>
    </w:p>
    <w:p w:rsidR="006D4B78" w:rsidRPr="006D4B78" w:rsidRDefault="006D4B78" w:rsidP="006D4B78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  <w:r w:rsidRPr="006D4B78">
        <w:rPr>
          <w:rFonts w:asciiTheme="minorHAnsi" w:hAnsiTheme="minorHAnsi" w:cs="Arial"/>
          <w:sz w:val="24"/>
          <w:szCs w:val="24"/>
        </w:rPr>
        <w:t>Sala de sessões Plínio de Carvalho, 16 de fevereiro de 2016.</w:t>
      </w:r>
    </w:p>
    <w:p w:rsidR="0035453B" w:rsidRPr="006D4B78" w:rsidRDefault="0035453B" w:rsidP="0035453B">
      <w:pPr>
        <w:ind w:right="33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24"/>
          <w:szCs w:val="24"/>
        </w:rPr>
      </w:pPr>
    </w:p>
    <w:p w:rsidR="0035453B" w:rsidRPr="006D4B78" w:rsidRDefault="0035453B" w:rsidP="0035453B">
      <w:pPr>
        <w:ind w:left="708" w:right="3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D4B78">
        <w:rPr>
          <w:rFonts w:asciiTheme="minorHAnsi" w:hAnsiTheme="minorHAnsi" w:cs="Arial"/>
          <w:b/>
          <w:bCs/>
          <w:sz w:val="24"/>
          <w:szCs w:val="24"/>
        </w:rPr>
        <w:t xml:space="preserve"> ROBERVAL FRAIZ</w:t>
      </w:r>
    </w:p>
    <w:p w:rsidR="0035453B" w:rsidRPr="006D4B78" w:rsidRDefault="0035453B" w:rsidP="0035453B">
      <w:pPr>
        <w:ind w:left="567" w:right="33"/>
        <w:jc w:val="center"/>
        <w:rPr>
          <w:rFonts w:asciiTheme="minorHAnsi" w:hAnsiTheme="minorHAnsi" w:cs="Arial"/>
          <w:sz w:val="16"/>
          <w:szCs w:val="16"/>
        </w:rPr>
      </w:pPr>
      <w:r w:rsidRPr="006D4B78">
        <w:rPr>
          <w:rFonts w:asciiTheme="minorHAnsi" w:hAnsiTheme="minorHAnsi" w:cs="Arial"/>
          <w:sz w:val="24"/>
          <w:szCs w:val="24"/>
        </w:rPr>
        <w:t>Vereador</w:t>
      </w:r>
    </w:p>
    <w:p w:rsidR="00064EFF" w:rsidRPr="006D4B78" w:rsidRDefault="00064EFF" w:rsidP="00587A0C">
      <w:pPr>
        <w:ind w:right="33"/>
        <w:jc w:val="both"/>
        <w:rPr>
          <w:rFonts w:asciiTheme="minorHAnsi" w:hAnsiTheme="minorHAnsi"/>
          <w:sz w:val="32"/>
          <w:szCs w:val="32"/>
        </w:rPr>
      </w:pPr>
    </w:p>
    <w:sectPr w:rsidR="00064EFF" w:rsidRPr="006D4B78" w:rsidSect="006D4B78">
      <w:headerReference w:type="even" r:id="rId7"/>
      <w:headerReference w:type="default" r:id="rId8"/>
      <w:headerReference w:type="first" r:id="rId9"/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65" w:rsidRDefault="00EE7565">
      <w:r>
        <w:separator/>
      </w:r>
    </w:p>
  </w:endnote>
  <w:endnote w:type="continuationSeparator" w:id="0">
    <w:p w:rsidR="00EE7565" w:rsidRDefault="00EE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65" w:rsidRDefault="00EE7565">
      <w:r>
        <w:separator/>
      </w:r>
    </w:p>
  </w:footnote>
  <w:footnote w:type="continuationSeparator" w:id="0">
    <w:p w:rsidR="00EE7565" w:rsidRDefault="00EE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75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7565"/>
  <w:p w:rsidR="00FC2879" w:rsidRDefault="00AF0427">
    <w:r>
      <w:rPr>
        <w:noProof/>
      </w:rPr>
      <w:drawing>
        <wp:anchor distT="0" distB="0" distL="114300" distR="114300" simplePos="0" relativeHeight="251658240" behindDoc="0" locked="0" layoutInCell="1" allowOverlap="1" wp14:anchorId="6F57BCB5" wp14:editId="13EF587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22885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1228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75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FC"/>
    <w:rsid w:val="0001382E"/>
    <w:rsid w:val="000157CB"/>
    <w:rsid w:val="00064EFF"/>
    <w:rsid w:val="00280D63"/>
    <w:rsid w:val="0035453B"/>
    <w:rsid w:val="00386006"/>
    <w:rsid w:val="00411E2A"/>
    <w:rsid w:val="004657CC"/>
    <w:rsid w:val="00490CF5"/>
    <w:rsid w:val="00504F18"/>
    <w:rsid w:val="005836F0"/>
    <w:rsid w:val="00587A0C"/>
    <w:rsid w:val="00592BA4"/>
    <w:rsid w:val="00637805"/>
    <w:rsid w:val="00663E68"/>
    <w:rsid w:val="00692059"/>
    <w:rsid w:val="00693793"/>
    <w:rsid w:val="006A20FC"/>
    <w:rsid w:val="006D4B78"/>
    <w:rsid w:val="00704954"/>
    <w:rsid w:val="0074605E"/>
    <w:rsid w:val="007A1999"/>
    <w:rsid w:val="00893354"/>
    <w:rsid w:val="00930096"/>
    <w:rsid w:val="009A098C"/>
    <w:rsid w:val="009C6FEA"/>
    <w:rsid w:val="009F4D72"/>
    <w:rsid w:val="00A92F37"/>
    <w:rsid w:val="00AA20D1"/>
    <w:rsid w:val="00AF0427"/>
    <w:rsid w:val="00B425CD"/>
    <w:rsid w:val="00CD166A"/>
    <w:rsid w:val="00CD246A"/>
    <w:rsid w:val="00CD71AD"/>
    <w:rsid w:val="00D01718"/>
    <w:rsid w:val="00D93A15"/>
    <w:rsid w:val="00DF73DD"/>
    <w:rsid w:val="00E617E4"/>
    <w:rsid w:val="00EB5FAB"/>
    <w:rsid w:val="00EE7565"/>
    <w:rsid w:val="00F13791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A20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7A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A0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54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A20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7A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A0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5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20</cp:revision>
  <cp:lastPrinted>2016-02-16T21:36:00Z</cp:lastPrinted>
  <dcterms:created xsi:type="dcterms:W3CDTF">2015-05-06T18:12:00Z</dcterms:created>
  <dcterms:modified xsi:type="dcterms:W3CDTF">2016-02-22T19:58:00Z</dcterms:modified>
</cp:coreProperties>
</file>