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4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39"/>
        <w:gridCol w:w="992"/>
        <w:gridCol w:w="1111"/>
      </w:tblGrid>
      <w:tr w:rsidR="000F4B71" w:rsidTr="000F4B71">
        <w:tc>
          <w:tcPr>
            <w:tcW w:w="7939" w:type="dxa"/>
            <w:hideMark/>
          </w:tcPr>
          <w:p w:rsidR="000F4B71" w:rsidRDefault="000F4B71">
            <w:pPr>
              <w:ind w:left="-108" w:right="-11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6"/>
                <w:szCs w:val="32"/>
              </w:rPr>
              <w:t>SUBSTITUTIVO AO PROJETO</w:t>
            </w:r>
            <w:proofErr w:type="gramStart"/>
            <w:r>
              <w:rPr>
                <w:b/>
                <w:bCs/>
                <w:sz w:val="26"/>
                <w:szCs w:val="32"/>
              </w:rPr>
              <w:t xml:space="preserve">   </w:t>
            </w:r>
            <w:proofErr w:type="gramEnd"/>
            <w:r>
              <w:rPr>
                <w:b/>
                <w:bCs/>
                <w:sz w:val="26"/>
                <w:szCs w:val="32"/>
              </w:rPr>
              <w:t>DE   LEI  COMPLEMENTAR N</w:t>
            </w:r>
            <w:r>
              <w:rPr>
                <w:rFonts w:ascii="Calibri" w:hAnsi="Calibri"/>
                <w:b/>
                <w:sz w:val="24"/>
              </w:rPr>
              <w:t>º</w:t>
            </w:r>
            <w:r>
              <w:rPr>
                <w:b/>
                <w:bCs/>
                <w:sz w:val="26"/>
                <w:szCs w:val="32"/>
              </w:rPr>
              <w:t xml:space="preserve">  </w:t>
            </w:r>
          </w:p>
        </w:tc>
        <w:tc>
          <w:tcPr>
            <w:tcW w:w="992" w:type="dxa"/>
            <w:hideMark/>
          </w:tcPr>
          <w:p w:rsidR="000F4B71" w:rsidRDefault="000F4B71">
            <w:pPr>
              <w:ind w:left="-108" w:right="-8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003</w:t>
            </w:r>
          </w:p>
        </w:tc>
        <w:tc>
          <w:tcPr>
            <w:tcW w:w="1111" w:type="dxa"/>
          </w:tcPr>
          <w:p w:rsidR="000F4B71" w:rsidRDefault="000F4B71">
            <w:pPr>
              <w:ind w:left="-108" w:right="-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/15</w:t>
            </w:r>
          </w:p>
          <w:p w:rsidR="000F4B71" w:rsidRDefault="000F4B71">
            <w:pPr>
              <w:ind w:left="-108" w:right="-13"/>
              <w:rPr>
                <w:b/>
                <w:bCs/>
                <w:sz w:val="32"/>
                <w:szCs w:val="32"/>
              </w:rPr>
            </w:pPr>
          </w:p>
        </w:tc>
      </w:tr>
    </w:tbl>
    <w:p w:rsidR="000F4B71" w:rsidRDefault="000F4B71" w:rsidP="000F4B71">
      <w:pPr>
        <w:ind w:right="-232"/>
        <w:jc w:val="center"/>
        <w:rPr>
          <w:rFonts w:ascii="Goudy Old Style ATT" w:hAnsi="Goudy Old Style ATT" w:cs="Goudy Old Style ATT"/>
          <w:b/>
          <w:bCs/>
          <w:sz w:val="28"/>
          <w:szCs w:val="28"/>
        </w:rPr>
      </w:pPr>
      <w:bookmarkStart w:id="0" w:name="_GoBack"/>
      <w:bookmarkEnd w:id="0"/>
    </w:p>
    <w:p w:rsidR="000F4B71" w:rsidRDefault="000F4B71" w:rsidP="000F4B71">
      <w:pPr>
        <w:ind w:left="3402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Dispõe sobre o desdobro de áreas que resultem em lotes com no mínimo 125m</w:t>
      </w:r>
      <w:proofErr w:type="gramStart"/>
      <w:r>
        <w:rPr>
          <w:rFonts w:ascii="Arial" w:hAnsi="Arial" w:cs="Arial"/>
          <w:sz w:val="24"/>
          <w:szCs w:val="24"/>
        </w:rPr>
        <w:t>²</w:t>
      </w:r>
      <w:proofErr w:type="gramEnd"/>
      <w:r>
        <w:rPr>
          <w:rFonts w:ascii="Arial" w:hAnsi="Arial" w:cs="Arial"/>
          <w:sz w:val="24"/>
          <w:szCs w:val="24"/>
        </w:rPr>
        <w:t xml:space="preserve"> e dá outras providencias.</w:t>
      </w:r>
    </w:p>
    <w:p w:rsidR="000F4B71" w:rsidRDefault="000F4B71" w:rsidP="000F4B71">
      <w:pPr>
        <w:ind w:left="5103" w:right="-567"/>
        <w:jc w:val="both"/>
        <w:rPr>
          <w:rFonts w:ascii="Arial" w:hAnsi="Arial" w:cs="Arial"/>
          <w:sz w:val="24"/>
          <w:szCs w:val="24"/>
        </w:rPr>
      </w:pPr>
    </w:p>
    <w:p w:rsidR="000F4B71" w:rsidRDefault="000F4B71" w:rsidP="000F4B71">
      <w:pPr>
        <w:ind w:left="5103" w:right="-567"/>
        <w:jc w:val="both"/>
        <w:rPr>
          <w:rFonts w:ascii="Arial" w:hAnsi="Arial" w:cs="Arial"/>
          <w:sz w:val="24"/>
          <w:szCs w:val="24"/>
        </w:rPr>
      </w:pPr>
    </w:p>
    <w:p w:rsidR="000F4B71" w:rsidRDefault="000F4B71" w:rsidP="000F4B71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Art. 1</w:t>
      </w:r>
      <w:r>
        <w:rPr>
          <w:rFonts w:ascii="Calibri" w:hAnsi="Calibri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Esta lei complementar regula tão somente o desdobro de lotes com áreas não inferiores a 125 metros quadrados e testada não inferior a 5,00 metros.</w:t>
      </w:r>
    </w:p>
    <w:p w:rsidR="000F4B71" w:rsidRDefault="000F4B71" w:rsidP="000F4B71">
      <w:pPr>
        <w:ind w:right="-567" w:firstLine="3402"/>
        <w:jc w:val="both"/>
        <w:rPr>
          <w:rFonts w:ascii="Arial" w:hAnsi="Arial" w:cs="Arial"/>
          <w:sz w:val="24"/>
          <w:szCs w:val="24"/>
        </w:rPr>
      </w:pPr>
    </w:p>
    <w:p w:rsidR="000F4B71" w:rsidRDefault="000F4B71" w:rsidP="000F4B71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Art. 2</w:t>
      </w:r>
      <w:r>
        <w:rPr>
          <w:rFonts w:ascii="Calibri" w:hAnsi="Calibri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desdobro somente será permitido para resultar em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(dois) lotes.</w:t>
      </w:r>
    </w:p>
    <w:p w:rsidR="000F4B71" w:rsidRDefault="000F4B71" w:rsidP="000F4B71">
      <w:pPr>
        <w:ind w:right="-567" w:firstLine="3402"/>
        <w:jc w:val="both"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</w:p>
    <w:p w:rsidR="000F4B71" w:rsidRDefault="000F4B71" w:rsidP="000F4B71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</w:t>
      </w:r>
      <w:r>
        <w:rPr>
          <w:rFonts w:ascii="Calibri" w:hAnsi="Calibri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Somente poderá beneficiar-se desta Lei Complementar quem seja proprietário de até 03 (três) imóveis, comprovados com certidão da relação das propriedades do requerente.</w:t>
      </w:r>
    </w:p>
    <w:p w:rsidR="000F4B71" w:rsidRDefault="000F4B71" w:rsidP="000F4B71">
      <w:pPr>
        <w:ind w:right="-567" w:firstLine="3402"/>
        <w:jc w:val="both"/>
        <w:rPr>
          <w:rFonts w:ascii="Arial" w:hAnsi="Arial" w:cs="Arial"/>
          <w:sz w:val="24"/>
          <w:szCs w:val="24"/>
        </w:rPr>
      </w:pPr>
    </w:p>
    <w:p w:rsidR="000F4B71" w:rsidRDefault="000F4B71" w:rsidP="000F4B71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Parágrafo único. </w:t>
      </w:r>
      <w:r>
        <w:rPr>
          <w:rFonts w:ascii="Arial" w:hAnsi="Arial" w:cs="Arial"/>
          <w:bCs/>
          <w:sz w:val="23"/>
          <w:szCs w:val="23"/>
        </w:rPr>
        <w:t>Não se aplica esta lei complementar às</w:t>
      </w:r>
      <w:r>
        <w:rPr>
          <w:rFonts w:ascii="Arial" w:hAnsi="Arial" w:cs="Arial"/>
          <w:sz w:val="23"/>
          <w:szCs w:val="23"/>
        </w:rPr>
        <w:t xml:space="preserve"> matriculas anteriormente beneficiadas por este diploma legal.</w:t>
      </w:r>
    </w:p>
    <w:p w:rsidR="000F4B71" w:rsidRDefault="000F4B71" w:rsidP="000F4B71">
      <w:pPr>
        <w:ind w:right="-567" w:firstLine="3402"/>
        <w:jc w:val="both"/>
        <w:rPr>
          <w:rFonts w:ascii="Arial" w:hAnsi="Arial" w:cs="Arial"/>
          <w:sz w:val="24"/>
          <w:szCs w:val="24"/>
        </w:rPr>
      </w:pPr>
    </w:p>
    <w:p w:rsidR="000F4B71" w:rsidRDefault="000F4B71" w:rsidP="000F4B71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Art. 4</w:t>
      </w:r>
      <w:r>
        <w:rPr>
          <w:rFonts w:ascii="Calibri" w:hAnsi="Calibri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benefícios desta Lei Complementar poderão ser solicitados uma única vez e para apenas uma propriedade do interessado, levando-se em conta o caráter social da medida.</w:t>
      </w:r>
    </w:p>
    <w:p w:rsidR="000F4B71" w:rsidRDefault="000F4B71" w:rsidP="000F4B71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F4B71" w:rsidRDefault="000F4B71" w:rsidP="000F4B71">
      <w:pPr>
        <w:ind w:right="-567" w:firstLine="340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Art. 5</w:t>
      </w:r>
      <w:r>
        <w:rPr>
          <w:rFonts w:ascii="Calibri" w:hAnsi="Calibri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solicitação de desdobro deverá ser protocolada na Prefeitura e instruída com os seguintes documentos:</w:t>
      </w:r>
      <w:r>
        <w:rPr>
          <w:rFonts w:ascii="Arial" w:hAnsi="Arial" w:cs="Arial"/>
          <w:sz w:val="24"/>
          <w:szCs w:val="24"/>
        </w:rPr>
        <w:tab/>
      </w:r>
    </w:p>
    <w:p w:rsidR="000F4B71" w:rsidRDefault="000F4B71" w:rsidP="000F4B71">
      <w:pPr>
        <w:ind w:right="-567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</w:p>
    <w:p w:rsidR="000F4B71" w:rsidRDefault="000F4B71" w:rsidP="000F4B71">
      <w:pPr>
        <w:numPr>
          <w:ilvl w:val="0"/>
          <w:numId w:val="1"/>
        </w:numPr>
        <w:autoSpaceDE w:val="0"/>
        <w:autoSpaceDN w:val="0"/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Certidão de propriedade do imóvel em nome do requerente e documentos emitidos por órgãos públicos ou empresas prestadoras de serviços públicos, que comprovem a posse do imóvel;</w:t>
      </w:r>
    </w:p>
    <w:p w:rsidR="000F4B71" w:rsidRDefault="000F4B71" w:rsidP="000F4B71">
      <w:pPr>
        <w:spacing w:line="276" w:lineRule="auto"/>
        <w:ind w:left="4122" w:right="-567"/>
        <w:jc w:val="both"/>
        <w:rPr>
          <w:rFonts w:ascii="Arial" w:hAnsi="Arial" w:cs="Arial"/>
          <w:sz w:val="24"/>
          <w:szCs w:val="24"/>
        </w:rPr>
      </w:pPr>
    </w:p>
    <w:p w:rsidR="000F4B71" w:rsidRDefault="000F4B71" w:rsidP="000F4B71">
      <w:pPr>
        <w:numPr>
          <w:ilvl w:val="0"/>
          <w:numId w:val="1"/>
        </w:numPr>
        <w:autoSpaceDE w:val="0"/>
        <w:autoSpaceDN w:val="0"/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certidão de propriedade do imóvel não poderá ter data de emissão inferior a sessenta (60) dias;</w:t>
      </w:r>
    </w:p>
    <w:p w:rsidR="000F4B71" w:rsidRDefault="000F4B71" w:rsidP="000F4B71">
      <w:pPr>
        <w:spacing w:line="276" w:lineRule="auto"/>
        <w:ind w:left="4122" w:right="-567"/>
        <w:jc w:val="both"/>
        <w:rPr>
          <w:rFonts w:ascii="Arial" w:hAnsi="Arial" w:cs="Arial"/>
          <w:sz w:val="24"/>
          <w:szCs w:val="24"/>
        </w:rPr>
      </w:pPr>
    </w:p>
    <w:p w:rsidR="000F4B71" w:rsidRDefault="000F4B71" w:rsidP="000F4B71">
      <w:pPr>
        <w:numPr>
          <w:ilvl w:val="0"/>
          <w:numId w:val="1"/>
        </w:numPr>
        <w:autoSpaceDE w:val="0"/>
        <w:autoSpaceDN w:val="0"/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Certidão Negativa de Débitos Municipais do imóvel a ser desmembrado;</w:t>
      </w:r>
    </w:p>
    <w:p w:rsidR="000F4B71" w:rsidRDefault="000F4B71" w:rsidP="000F4B71">
      <w:pPr>
        <w:spacing w:line="276" w:lineRule="auto"/>
        <w:ind w:left="4122" w:right="-567"/>
        <w:jc w:val="both"/>
        <w:rPr>
          <w:rFonts w:ascii="Arial" w:hAnsi="Arial" w:cs="Arial"/>
          <w:sz w:val="24"/>
          <w:szCs w:val="24"/>
        </w:rPr>
      </w:pPr>
    </w:p>
    <w:p w:rsidR="000F4B71" w:rsidRDefault="000F4B71" w:rsidP="000F4B71">
      <w:pPr>
        <w:numPr>
          <w:ilvl w:val="0"/>
          <w:numId w:val="1"/>
        </w:numPr>
        <w:autoSpaceDE w:val="0"/>
        <w:autoSpaceDN w:val="0"/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No caso de propriedade não quitada, o requerente devera providenciar a anuência do loteador para o devido desdobro;</w:t>
      </w:r>
    </w:p>
    <w:p w:rsidR="000F4B71" w:rsidRDefault="000F4B71" w:rsidP="000F4B71">
      <w:p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</w:p>
    <w:p w:rsidR="000F4B71" w:rsidRDefault="000F4B71" w:rsidP="000F4B71">
      <w:pPr>
        <w:numPr>
          <w:ilvl w:val="0"/>
          <w:numId w:val="1"/>
        </w:numPr>
        <w:autoSpaceDE w:val="0"/>
        <w:autoSpaceDN w:val="0"/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desdobro devera ser apresentado na forma padrão que o Município exige;</w:t>
      </w:r>
    </w:p>
    <w:p w:rsidR="000F4B71" w:rsidRDefault="000F4B71" w:rsidP="000F4B71">
      <w:pPr>
        <w:spacing w:line="276" w:lineRule="auto"/>
        <w:ind w:left="4122" w:right="-567"/>
        <w:jc w:val="both"/>
        <w:rPr>
          <w:rFonts w:ascii="Arial" w:hAnsi="Arial" w:cs="Arial"/>
          <w:sz w:val="24"/>
          <w:szCs w:val="24"/>
        </w:rPr>
      </w:pPr>
    </w:p>
    <w:p w:rsidR="000F4B71" w:rsidRDefault="000F4B71" w:rsidP="000F4B71">
      <w:pPr>
        <w:numPr>
          <w:ilvl w:val="0"/>
          <w:numId w:val="1"/>
        </w:numPr>
        <w:autoSpaceDE w:val="0"/>
        <w:autoSpaceDN w:val="0"/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Esta Lei não se aplica aos loteamentos denominados Chácaras de Recreio;</w:t>
      </w:r>
    </w:p>
    <w:p w:rsidR="000F4B71" w:rsidRDefault="000F4B71" w:rsidP="000F4B71">
      <w:p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</w:p>
    <w:p w:rsidR="000F4B71" w:rsidRDefault="000F4B71" w:rsidP="000F4B71">
      <w:pPr>
        <w:numPr>
          <w:ilvl w:val="0"/>
          <w:numId w:val="1"/>
        </w:numPr>
        <w:autoSpaceDE w:val="0"/>
        <w:autoSpaceDN w:val="0"/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poderá ser aplicado em loteamentos cuja matricula dos lotes houver restrições quanto ao desdobro;</w:t>
      </w:r>
    </w:p>
    <w:p w:rsidR="000F4B71" w:rsidRDefault="000F4B71" w:rsidP="000F4B71">
      <w:p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</w:p>
    <w:p w:rsidR="000F4B71" w:rsidRDefault="000F4B71" w:rsidP="000F4B71">
      <w:pPr>
        <w:numPr>
          <w:ilvl w:val="0"/>
          <w:numId w:val="1"/>
        </w:numPr>
        <w:autoSpaceDE w:val="0"/>
        <w:autoSpaceDN w:val="0"/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poderá ser aplicados em loteamentos localizados nos Zoneamentos ZOPRE AEIU, ZOPRE AEIS, ZEPP ZEPIS.</w:t>
      </w:r>
    </w:p>
    <w:p w:rsidR="000F4B71" w:rsidRDefault="000F4B71" w:rsidP="000F4B71">
      <w:pPr>
        <w:spacing w:line="276" w:lineRule="auto"/>
        <w:ind w:right="-567" w:firstLine="3402"/>
        <w:jc w:val="both"/>
        <w:rPr>
          <w:rFonts w:ascii="Arial" w:hAnsi="Arial" w:cs="Arial"/>
          <w:b/>
          <w:sz w:val="24"/>
          <w:szCs w:val="24"/>
        </w:rPr>
      </w:pPr>
    </w:p>
    <w:p w:rsidR="000F4B71" w:rsidRDefault="000F4B71" w:rsidP="000F4B71">
      <w:pPr>
        <w:spacing w:line="276" w:lineRule="auto"/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Art. 6</w:t>
      </w:r>
      <w:r>
        <w:rPr>
          <w:rFonts w:ascii="Calibri" w:hAnsi="Calibri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prazo para regularização da aprovação do desdobro será de 180 (cento e oitenta) dias a partir da data do pedido de aprovação protocolado junto a Secretaria de Desenvolvimento Urbano, salvo se:</w:t>
      </w:r>
    </w:p>
    <w:p w:rsidR="000F4B71" w:rsidRDefault="000F4B71" w:rsidP="000F4B71">
      <w:pPr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</w:p>
    <w:p w:rsidR="000F4B71" w:rsidRDefault="000F4B71" w:rsidP="000F4B71">
      <w:pPr>
        <w:numPr>
          <w:ilvl w:val="0"/>
          <w:numId w:val="2"/>
        </w:numPr>
        <w:autoSpaceDE w:val="0"/>
        <w:autoSpaceDN w:val="0"/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Casos em que haja necessidade de regularização das medidas do terreno (retificação judicial);</w:t>
      </w:r>
    </w:p>
    <w:p w:rsidR="000F4B71" w:rsidRDefault="000F4B71" w:rsidP="000F4B71">
      <w:pPr>
        <w:spacing w:line="276" w:lineRule="auto"/>
        <w:ind w:left="4126" w:right="-567"/>
        <w:jc w:val="both"/>
        <w:rPr>
          <w:rFonts w:ascii="Arial" w:hAnsi="Arial" w:cs="Arial"/>
          <w:sz w:val="24"/>
          <w:szCs w:val="24"/>
        </w:rPr>
      </w:pPr>
    </w:p>
    <w:p w:rsidR="000F4B71" w:rsidRDefault="000F4B71" w:rsidP="000F4B71">
      <w:pPr>
        <w:numPr>
          <w:ilvl w:val="0"/>
          <w:numId w:val="2"/>
        </w:numPr>
        <w:autoSpaceDE w:val="0"/>
        <w:autoSpaceDN w:val="0"/>
        <w:spacing w:line="276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Casos em que haja o pedido de parcelamentos de débitos municipais, podendo ser aprovado após a quitação deste.</w:t>
      </w:r>
    </w:p>
    <w:p w:rsidR="000F4B71" w:rsidRDefault="000F4B71" w:rsidP="000F4B71">
      <w:pPr>
        <w:ind w:right="-567" w:firstLine="3402"/>
        <w:jc w:val="both"/>
        <w:rPr>
          <w:rFonts w:ascii="Arial" w:hAnsi="Arial" w:cs="Arial"/>
          <w:b/>
          <w:sz w:val="24"/>
          <w:szCs w:val="24"/>
        </w:rPr>
      </w:pPr>
    </w:p>
    <w:p w:rsidR="000F4B71" w:rsidRDefault="000F4B71" w:rsidP="000F4B71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7</w:t>
      </w:r>
      <w:r>
        <w:rPr>
          <w:rFonts w:ascii="Calibri" w:hAnsi="Calibri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 lei complementar entra em vigor na data de sua publicação, com validade de 12 (doze) meses, revogadas as disposições em contrário.</w:t>
      </w:r>
    </w:p>
    <w:p w:rsidR="000F4B71" w:rsidRDefault="000F4B71" w:rsidP="000F4B71">
      <w:pPr>
        <w:ind w:right="-567" w:firstLine="3402"/>
        <w:jc w:val="both"/>
        <w:rPr>
          <w:rFonts w:ascii="Arial" w:hAnsi="Arial" w:cs="Arial"/>
          <w:sz w:val="24"/>
          <w:szCs w:val="24"/>
        </w:rPr>
      </w:pPr>
    </w:p>
    <w:p w:rsidR="000F4B71" w:rsidRPr="000F4B71" w:rsidRDefault="000F4B71" w:rsidP="000F4B71">
      <w:pPr>
        <w:pStyle w:val="Ttulo1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0F4B71">
        <w:rPr>
          <w:rFonts w:ascii="Arial" w:hAnsi="Arial" w:cs="Arial"/>
          <w:b w:val="0"/>
          <w:color w:val="auto"/>
        </w:rPr>
        <w:t>Sala de sessões Plínio de Carvalho, 30 de março de 2015.</w:t>
      </w:r>
    </w:p>
    <w:p w:rsidR="000F4B71" w:rsidRPr="000F4B71" w:rsidRDefault="000F4B71" w:rsidP="000F4B71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0F4B71" w:rsidRPr="000F4B71" w:rsidRDefault="000F4B71" w:rsidP="000F4B71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0F4B71" w:rsidRDefault="000F4B71" w:rsidP="000F4B71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JOÃO FARIAS</w:t>
      </w:r>
      <w:proofErr w:type="gramEnd"/>
    </w:p>
    <w:p w:rsidR="000F4B71" w:rsidRDefault="000F4B71" w:rsidP="000F4B71">
      <w:pPr>
        <w:ind w:left="567" w:righ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0F4B71" w:rsidRDefault="000F4B71" w:rsidP="000F4B71">
      <w:pPr>
        <w:ind w:right="-567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>MRDC</w:t>
      </w:r>
    </w:p>
    <w:p w:rsidR="00084A73" w:rsidRDefault="00084A73"/>
    <w:sectPr w:rsidR="00084A7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oudy Old Style A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B3655"/>
    <w:multiLevelType w:val="hybridMultilevel"/>
    <w:tmpl w:val="1E9EFFC6"/>
    <w:lvl w:ilvl="0" w:tplc="11E03DBE">
      <w:start w:val="1"/>
      <w:numFmt w:val="upperRoman"/>
      <w:lvlText w:val="%1 -"/>
      <w:lvlJc w:val="right"/>
      <w:pPr>
        <w:ind w:left="4126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484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556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628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700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772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844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916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9886" w:hanging="180"/>
      </w:pPr>
      <w:rPr>
        <w:rFonts w:cs="Times New Roman"/>
      </w:rPr>
    </w:lvl>
  </w:abstractNum>
  <w:abstractNum w:abstractNumId="1">
    <w:nsid w:val="2B186BEF"/>
    <w:multiLevelType w:val="hybridMultilevel"/>
    <w:tmpl w:val="38160F10"/>
    <w:lvl w:ilvl="0" w:tplc="333AB4F4">
      <w:start w:val="1"/>
      <w:numFmt w:val="upperRoman"/>
      <w:lvlText w:val="%1 -"/>
      <w:lvlJc w:val="right"/>
      <w:pPr>
        <w:ind w:left="4122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484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556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628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700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772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844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916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9882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84A73"/>
    <w:rsid w:val="000F4B71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ade">
    <w:name w:val="Table Grid"/>
    <w:basedOn w:val="Tabelanormal"/>
    <w:uiPriority w:val="99"/>
    <w:rsid w:val="000F4B71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R. D. Cavalcanti</cp:lastModifiedBy>
  <cp:revision>3</cp:revision>
  <dcterms:created xsi:type="dcterms:W3CDTF">2015-04-28T21:34:00Z</dcterms:created>
  <dcterms:modified xsi:type="dcterms:W3CDTF">2015-04-28T21:35:00Z</dcterms:modified>
</cp:coreProperties>
</file>